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9FB3" w14:textId="57FA5F23" w:rsidR="000428B2" w:rsidRPr="000428B2" w:rsidRDefault="000428B2" w:rsidP="000428B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0428B2">
        <w:rPr>
          <w:position w:val="-9"/>
          <w:sz w:val="123"/>
        </w:rPr>
        <w:t>D</w:t>
      </w:r>
    </w:p>
    <w:p w14:paraId="0A7C1566" w14:textId="068834C5" w:rsidR="005D6A2B" w:rsidRDefault="000428B2" w:rsidP="000421A0">
      <w:r>
        <w:t xml:space="preserve">e acuerdo con la </w:t>
      </w:r>
      <w:hyperlink r:id="rId8" w:history="1">
        <w:r w:rsidRPr="000428B2">
          <w:rPr>
            <w:rStyle w:val="Hipervnculo"/>
          </w:rPr>
          <w:t>Ley 44 de 1993</w:t>
        </w:r>
      </w:hyperlink>
      <w:r>
        <w:t xml:space="preserve"> “</w:t>
      </w:r>
      <w:r w:rsidRPr="000428B2">
        <w:rPr>
          <w:i/>
          <w:iCs/>
        </w:rPr>
        <w:t>ARTICULO 10. Los titulares de derechos de autor y derechos conexos podrán formar sociedades de gestión colectiva de derechos de autor y derechos conexos, sin ánimo de lucro con personería jurídica, para la defensa de sus intereses conforme a las disposiciones establecidas en la Ley 23 de 1982 y en la presente Ley.</w:t>
      </w:r>
      <w:r>
        <w:t>” No se entiende cómo se pregunta al CTCP respecto de tales sociedades “</w:t>
      </w:r>
      <w:r w:rsidRPr="000428B2">
        <w:rPr>
          <w:i/>
          <w:iCs/>
        </w:rPr>
        <w:t>con ánimo de lucro</w:t>
      </w:r>
      <w:r>
        <w:t>”. En cuanto a la forma de llevar contabilidad varias veces hemos censurado que se hubiere sostenido que las normas de contabilidad e información financiera no admitían los planes de cuentas</w:t>
      </w:r>
      <w:r w:rsidR="00FE030F">
        <w:t xml:space="preserve"> obligatorios</w:t>
      </w:r>
      <w:r>
        <w:t>. Este error permanece hasta hoy, lo que pone en duda el carácter técnico del CTCP.</w:t>
      </w:r>
      <w:r w:rsidR="008C551B">
        <w:t xml:space="preserve"> No hay ni es posible una contabilidad sin un plan de cuentas, pues estas son un elemento esencial para poder cumplir las funciones de clasificación y acumulación. Nosotros hemos sostenido y ahora reiteramos que la mejor práctica en materia de los estándares de contabilidad e información financiera internacional es la adopción de las taxonomías preparadas por el personal de la Fundación IFRS y aprobadas por el IASB. El CTCP también guarda silencio a este respecto.</w:t>
      </w:r>
      <w:r w:rsidR="00BC4CBF">
        <w:t xml:space="preserve"> Como es claro, la contabilidad y, en consecuencia, el respectivo plan de </w:t>
      </w:r>
      <w:r w:rsidR="008D5579">
        <w:t>cuentas</w:t>
      </w:r>
      <w:r w:rsidR="00BC4CBF">
        <w:t xml:space="preserve"> debe responder a las características y actividades de cada industria. </w:t>
      </w:r>
      <w:r w:rsidR="008D5579">
        <w:t xml:space="preserve">Ante el silencio del derecho contable colombiano podría pensarse en utilizar los llamados Catálogos </w:t>
      </w:r>
      <w:r w:rsidR="008D5579" w:rsidRPr="008D5579">
        <w:t>de Información Financiera con Fines de Supervisión</w:t>
      </w:r>
      <w:r w:rsidR="008D5579">
        <w:t xml:space="preserve">. Esto sería volver al pasado para corregir lo que doctrinariamente se sostuvo en forma errada. Esos catálogos han sido </w:t>
      </w:r>
      <w:r w:rsidR="008D5579">
        <w:t>expedidos por las autoridades, las cuales siempre han cuidado sus propios intereses. Otra posibilidad es dejar a cada entidad elaborar sus propio</w:t>
      </w:r>
      <w:r w:rsidR="007E6DDD">
        <w:t>s</w:t>
      </w:r>
      <w:r w:rsidR="008D5579">
        <w:t xml:space="preserve"> plan</w:t>
      </w:r>
      <w:r w:rsidR="007E6DDD">
        <w:t>es</w:t>
      </w:r>
      <w:r w:rsidR="008D5579">
        <w:t xml:space="preserve"> de cuentas, perdiendo las ventajas de la uniformidad prevista en los marcos conceptuales.</w:t>
      </w:r>
      <w:r w:rsidR="007E6DDD">
        <w:t xml:space="preserve"> En el anexo 6 del Decreto Único Reglamentario de normas de contabilidad, información financiera y aseguramiento de información 2420 de 2015, se exige llevar como libro auxiliar los necesarios para “</w:t>
      </w:r>
      <w:r w:rsidR="007E6DDD" w:rsidRPr="007E6DDD">
        <w:rPr>
          <w:i/>
          <w:iCs/>
        </w:rPr>
        <w:t>c) Conocer los códigos o series cifradas que identifiquen las cuentas, así como los códigos o símbolos utilizados para describir las transacciones, con indicación de las adiciones, modificaciones, sustituciones o cancelaciones que se hagan de unas y otras.</w:t>
      </w:r>
      <w:r w:rsidR="007E6DDD">
        <w:t>”. Cuando los procesos jurídicos traten sobre la actual contabilidad veremos si la libertad que se ha concedido a muchas empresas, salvo en lo que toca con los denominados catálogos con fines de supervisión, está resultando adecuada.</w:t>
      </w:r>
      <w:r w:rsidR="008C56F8">
        <w:t xml:space="preserve"> Hasta el momento hay muchas cuestiones que no se están estudiando desde la perspectiva de la ciencia contable, sino bajo la luz de las leyes y las posibilidades del poder político. Sus decisiones obviamente no son contables. Los profesionales de la contabilidad deben estar preparados para reconocer lo contable frente a lo que no lo sea, defendiendo siempre lo que nos lleve a comunicar la realidad, esencia o sustancia económica. Sin esta habilidad intelectual no podremos considerarlos competentes. Obviamente esta formación debe provenir de la academia contable, que tiene que estar delante de la cultura y el conocimiento de los profesionales en ejercicio.</w:t>
      </w:r>
    </w:p>
    <w:p w14:paraId="3BC802CB" w14:textId="3F533062" w:rsidR="008C56F8" w:rsidRPr="000421A0" w:rsidRDefault="008C56F8" w:rsidP="008C56F8">
      <w:pPr>
        <w:jc w:val="right"/>
      </w:pPr>
      <w:r w:rsidRPr="003C4ED4">
        <w:rPr>
          <w:i/>
          <w:iCs/>
        </w:rPr>
        <w:t>Hernando Bermúdez Gómez</w:t>
      </w:r>
    </w:p>
    <w:sectPr w:rsidR="008C56F8" w:rsidRPr="000421A0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9D44" w14:textId="77777777" w:rsidR="00522A3F" w:rsidRDefault="00522A3F" w:rsidP="00EE7812">
      <w:pPr>
        <w:spacing w:after="0" w:line="240" w:lineRule="auto"/>
      </w:pPr>
      <w:r>
        <w:separator/>
      </w:r>
    </w:p>
  </w:endnote>
  <w:endnote w:type="continuationSeparator" w:id="0">
    <w:p w14:paraId="6AC0617C" w14:textId="77777777" w:rsidR="00522A3F" w:rsidRDefault="00522A3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60E1" w14:textId="77777777" w:rsidR="00522A3F" w:rsidRDefault="00522A3F" w:rsidP="00EE7812">
      <w:pPr>
        <w:spacing w:after="0" w:line="240" w:lineRule="auto"/>
      </w:pPr>
      <w:r>
        <w:separator/>
      </w:r>
    </w:p>
  </w:footnote>
  <w:footnote w:type="continuationSeparator" w:id="0">
    <w:p w14:paraId="1A1D31CD" w14:textId="77777777" w:rsidR="00522A3F" w:rsidRDefault="00522A3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0B20486F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407289">
      <w:t>3</w:t>
    </w:r>
    <w:r w:rsidR="00714573">
      <w:t>90</w:t>
    </w:r>
    <w:r>
      <w:t>,</w:t>
    </w:r>
    <w:r w:rsidR="001E23A5">
      <w:t xml:space="preserve"> </w:t>
    </w:r>
    <w:r w:rsidR="0049605E">
      <w:t>22</w:t>
    </w:r>
    <w:r w:rsidR="001E23A5">
      <w:t xml:space="preserve"> </w:t>
    </w:r>
    <w:r w:rsidR="009365CF">
      <w:t>de</w:t>
    </w:r>
    <w:r w:rsidR="001E23A5">
      <w:t xml:space="preserve"> </w:t>
    </w:r>
    <w:r w:rsidR="004E51B3">
      <w:t>mayo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12693">
    <w:abstractNumId w:val="0"/>
  </w:num>
  <w:num w:numId="2" w16cid:durableId="109007927">
    <w:abstractNumId w:val="21"/>
  </w:num>
  <w:num w:numId="3" w16cid:durableId="286006959">
    <w:abstractNumId w:val="15"/>
  </w:num>
  <w:num w:numId="4" w16cid:durableId="1898129543">
    <w:abstractNumId w:val="2"/>
  </w:num>
  <w:num w:numId="5" w16cid:durableId="1439446793">
    <w:abstractNumId w:val="20"/>
  </w:num>
  <w:num w:numId="6" w16cid:durableId="2125267457">
    <w:abstractNumId w:val="35"/>
  </w:num>
  <w:num w:numId="7" w16cid:durableId="1300382750">
    <w:abstractNumId w:val="13"/>
  </w:num>
  <w:num w:numId="8" w16cid:durableId="1540627174">
    <w:abstractNumId w:val="33"/>
  </w:num>
  <w:num w:numId="9" w16cid:durableId="708838180">
    <w:abstractNumId w:val="38"/>
  </w:num>
  <w:num w:numId="10" w16cid:durableId="733282535">
    <w:abstractNumId w:val="4"/>
  </w:num>
  <w:num w:numId="11" w16cid:durableId="645822116">
    <w:abstractNumId w:val="6"/>
  </w:num>
  <w:num w:numId="12" w16cid:durableId="1834640051">
    <w:abstractNumId w:val="19"/>
  </w:num>
  <w:num w:numId="13" w16cid:durableId="1364557124">
    <w:abstractNumId w:val="22"/>
  </w:num>
  <w:num w:numId="14" w16cid:durableId="137042232">
    <w:abstractNumId w:val="32"/>
  </w:num>
  <w:num w:numId="15" w16cid:durableId="132522452">
    <w:abstractNumId w:val="9"/>
  </w:num>
  <w:num w:numId="16" w16cid:durableId="861355973">
    <w:abstractNumId w:val="7"/>
  </w:num>
  <w:num w:numId="17" w16cid:durableId="1358700760">
    <w:abstractNumId w:val="17"/>
  </w:num>
  <w:num w:numId="18" w16cid:durableId="1023479095">
    <w:abstractNumId w:val="31"/>
  </w:num>
  <w:num w:numId="19" w16cid:durableId="112598704">
    <w:abstractNumId w:val="26"/>
  </w:num>
  <w:num w:numId="20" w16cid:durableId="278683194">
    <w:abstractNumId w:val="8"/>
  </w:num>
  <w:num w:numId="21" w16cid:durableId="2139258687">
    <w:abstractNumId w:val="27"/>
  </w:num>
  <w:num w:numId="22" w16cid:durableId="985858300">
    <w:abstractNumId w:val="28"/>
  </w:num>
  <w:num w:numId="23" w16cid:durableId="1477139237">
    <w:abstractNumId w:val="29"/>
  </w:num>
  <w:num w:numId="24" w16cid:durableId="1361322119">
    <w:abstractNumId w:val="34"/>
  </w:num>
  <w:num w:numId="25" w16cid:durableId="530338930">
    <w:abstractNumId w:val="23"/>
  </w:num>
  <w:num w:numId="26" w16cid:durableId="637491024">
    <w:abstractNumId w:val="14"/>
  </w:num>
  <w:num w:numId="27" w16cid:durableId="1674409856">
    <w:abstractNumId w:val="5"/>
  </w:num>
  <w:num w:numId="28" w16cid:durableId="2112897678">
    <w:abstractNumId w:val="24"/>
  </w:num>
  <w:num w:numId="29" w16cid:durableId="97067515">
    <w:abstractNumId w:val="1"/>
  </w:num>
  <w:num w:numId="30" w16cid:durableId="1859612773">
    <w:abstractNumId w:val="25"/>
  </w:num>
  <w:num w:numId="31" w16cid:durableId="1377772886">
    <w:abstractNumId w:val="30"/>
  </w:num>
  <w:num w:numId="32" w16cid:durableId="273365479">
    <w:abstractNumId w:val="12"/>
  </w:num>
  <w:num w:numId="33" w16cid:durableId="1891721260">
    <w:abstractNumId w:val="18"/>
  </w:num>
  <w:num w:numId="34" w16cid:durableId="224225352">
    <w:abstractNumId w:val="3"/>
  </w:num>
  <w:num w:numId="35" w16cid:durableId="933787175">
    <w:abstractNumId w:val="36"/>
  </w:num>
  <w:num w:numId="36" w16cid:durableId="606305866">
    <w:abstractNumId w:val="10"/>
  </w:num>
  <w:num w:numId="37" w16cid:durableId="1912153724">
    <w:abstractNumId w:val="11"/>
  </w:num>
  <w:num w:numId="38" w16cid:durableId="383259132">
    <w:abstractNumId w:val="37"/>
  </w:num>
  <w:num w:numId="39" w16cid:durableId="64497079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10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E7F"/>
    <w:rsid w:val="00066F36"/>
    <w:rsid w:val="00066F59"/>
    <w:rsid w:val="00066FDF"/>
    <w:rsid w:val="00067011"/>
    <w:rsid w:val="00067136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51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3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45"/>
    <w:rsid w:val="00406379"/>
    <w:rsid w:val="00406381"/>
    <w:rsid w:val="0040640C"/>
    <w:rsid w:val="00406416"/>
    <w:rsid w:val="004064AA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2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A3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FD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8C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C7"/>
    <w:rsid w:val="006E07D4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AFC"/>
    <w:rsid w:val="00793B68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6C2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2CF"/>
    <w:rsid w:val="009033C5"/>
    <w:rsid w:val="009035A9"/>
    <w:rsid w:val="009035AD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44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2E"/>
    <w:rsid w:val="00A35B30"/>
    <w:rsid w:val="00A35B4A"/>
    <w:rsid w:val="00A35BAA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83"/>
    <w:rsid w:val="00A53689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1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54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98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3E9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303"/>
    <w:rsid w:val="00BB732E"/>
    <w:rsid w:val="00BB74D5"/>
    <w:rsid w:val="00BB751B"/>
    <w:rsid w:val="00BB757F"/>
    <w:rsid w:val="00BB7589"/>
    <w:rsid w:val="00BB7651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70"/>
    <w:rsid w:val="00C4377C"/>
    <w:rsid w:val="00C43839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77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35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in-juriscol.gov.co/viewDocument.asp?ruta=Leyes/15991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0FDFABF3-89C2-4C1B-8935-DCA6F650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3312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2023-05-26T20:59:00Z</dcterms:created>
  <dcterms:modified xsi:type="dcterms:W3CDTF">2023-05-26T20:59:00Z</dcterms:modified>
</cp:coreProperties>
</file>