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A3DC" w14:textId="20EE51E4" w:rsidR="002150A5" w:rsidRPr="002150A5" w:rsidRDefault="002150A5" w:rsidP="002150A5">
      <w:pPr>
        <w:keepNext/>
        <w:framePr w:dropCap="drop" w:lines="3" w:wrap="around" w:vAnchor="text" w:hAnchor="text"/>
        <w:spacing w:after="0" w:line="926" w:lineRule="exact"/>
        <w:textAlignment w:val="baseline"/>
        <w:rPr>
          <w:position w:val="-9"/>
          <w:sz w:val="123"/>
          <w:lang w:val="en-US"/>
        </w:rPr>
      </w:pPr>
      <w:r w:rsidRPr="002150A5">
        <w:rPr>
          <w:position w:val="-9"/>
          <w:sz w:val="123"/>
          <w:lang w:val="en-US"/>
        </w:rPr>
        <w:t>E</w:t>
      </w:r>
    </w:p>
    <w:p w14:paraId="30C91444" w14:textId="6A13B416" w:rsidR="002150A5" w:rsidRDefault="002150A5" w:rsidP="006720DA">
      <w:pPr>
        <w:rPr>
          <w:lang w:val="en-US"/>
        </w:rPr>
      </w:pPr>
      <w:r w:rsidRPr="002150A5">
        <w:rPr>
          <w:lang w:val="en-US"/>
        </w:rPr>
        <w:t xml:space="preserve">n las </w:t>
      </w:r>
      <w:proofErr w:type="spellStart"/>
      <w:r w:rsidRPr="002150A5">
        <w:rPr>
          <w:lang w:val="en-US"/>
        </w:rPr>
        <w:t>noticias</w:t>
      </w:r>
      <w:proofErr w:type="spellEnd"/>
      <w:r w:rsidRPr="002150A5">
        <w:rPr>
          <w:lang w:val="en-US"/>
        </w:rPr>
        <w:t xml:space="preserve"> de </w:t>
      </w:r>
      <w:r w:rsidR="00000000">
        <w:fldChar w:fldCharType="begin"/>
      </w:r>
      <w:r w:rsidR="00000000" w:rsidRPr="001F510C">
        <w:rPr>
          <w:lang w:val="en-US"/>
        </w:rPr>
        <w:instrText>HYPERLINK "https://www.ifac.org/news-events/2023-06/ifac-admitted-affiliate-member-international-organization-securities-commissions"</w:instrText>
      </w:r>
      <w:r w:rsidR="00000000">
        <w:fldChar w:fldCharType="separate"/>
      </w:r>
      <w:proofErr w:type="spellStart"/>
      <w:r w:rsidRPr="002150A5">
        <w:rPr>
          <w:rStyle w:val="Hipervnculo"/>
          <w:smallCaps/>
          <w:lang w:val="en-US"/>
        </w:rPr>
        <w:t>Ifac</w:t>
      </w:r>
      <w:proofErr w:type="spellEnd"/>
      <w:r w:rsidR="00000000">
        <w:rPr>
          <w:rStyle w:val="Hipervnculo"/>
          <w:smallCaps/>
          <w:lang w:val="en-US"/>
        </w:rPr>
        <w:fldChar w:fldCharType="end"/>
      </w:r>
      <w:r w:rsidRPr="002150A5">
        <w:rPr>
          <w:lang w:val="en-US"/>
        </w:rPr>
        <w:t xml:space="preserve"> </w:t>
      </w:r>
      <w:proofErr w:type="spellStart"/>
      <w:r w:rsidRPr="002150A5">
        <w:rPr>
          <w:lang w:val="en-US"/>
        </w:rPr>
        <w:t>encontramos</w:t>
      </w:r>
      <w:proofErr w:type="spellEnd"/>
      <w:r w:rsidRPr="002150A5">
        <w:rPr>
          <w:lang w:val="en-US"/>
        </w:rPr>
        <w:t xml:space="preserve"> la </w:t>
      </w:r>
      <w:proofErr w:type="spellStart"/>
      <w:r w:rsidRPr="002150A5">
        <w:rPr>
          <w:lang w:val="en-US"/>
        </w:rPr>
        <w:t>siguiente</w:t>
      </w:r>
      <w:proofErr w:type="spellEnd"/>
      <w:r w:rsidRPr="002150A5">
        <w:rPr>
          <w:lang w:val="en-US"/>
        </w:rPr>
        <w:t>: “</w:t>
      </w:r>
      <w:r w:rsidRPr="002150A5">
        <w:rPr>
          <w:i/>
          <w:iCs/>
          <w:lang w:val="en-US"/>
        </w:rPr>
        <w:t>Jun 1, 2023 | New York, New York | English Last month, IFAC was accepted as an Affiliate Member of the International Organization of Securities Commissions (IOSCO).  This marks a significant step in IFAC’s ability to work with other international organizations for the public interest, and to elevate the voice of the global accountancy profession with key global stakeholders.  IFAC is the sole representative of the accountancy profession within the IOSCO membership.</w:t>
      </w:r>
      <w:r>
        <w:rPr>
          <w:lang w:val="en-US"/>
        </w:rPr>
        <w:t xml:space="preserve">” </w:t>
      </w:r>
      <w:proofErr w:type="spellStart"/>
      <w:r w:rsidRPr="002150A5">
        <w:rPr>
          <w:lang w:val="en-US"/>
        </w:rPr>
        <w:t>Desde</w:t>
      </w:r>
      <w:proofErr w:type="spellEnd"/>
      <w:r w:rsidRPr="002150A5">
        <w:rPr>
          <w:lang w:val="en-US"/>
        </w:rPr>
        <w:t xml:space="preserve"> la </w:t>
      </w:r>
      <w:proofErr w:type="spellStart"/>
      <w:r w:rsidRPr="002150A5">
        <w:rPr>
          <w:lang w:val="en-US"/>
        </w:rPr>
        <w:t>década</w:t>
      </w:r>
      <w:proofErr w:type="spellEnd"/>
      <w:r w:rsidRPr="002150A5">
        <w:rPr>
          <w:lang w:val="en-US"/>
        </w:rPr>
        <w:t xml:space="preserve"> de </w:t>
      </w:r>
      <w:proofErr w:type="spellStart"/>
      <w:r w:rsidRPr="002150A5">
        <w:rPr>
          <w:lang w:val="en-US"/>
        </w:rPr>
        <w:t>los</w:t>
      </w:r>
      <w:proofErr w:type="spellEnd"/>
      <w:r w:rsidRPr="002150A5">
        <w:rPr>
          <w:lang w:val="en-US"/>
        </w:rPr>
        <w:t xml:space="preserve"> </w:t>
      </w:r>
      <w:proofErr w:type="spellStart"/>
      <w:r w:rsidRPr="002150A5">
        <w:rPr>
          <w:lang w:val="en-US"/>
        </w:rPr>
        <w:t>años</w:t>
      </w:r>
      <w:proofErr w:type="spellEnd"/>
      <w:r w:rsidRPr="002150A5">
        <w:rPr>
          <w:lang w:val="en-US"/>
        </w:rPr>
        <w:t xml:space="preserve"> 70 del </w:t>
      </w:r>
      <w:proofErr w:type="spellStart"/>
      <w:r w:rsidRPr="002150A5">
        <w:rPr>
          <w:lang w:val="en-US"/>
        </w:rPr>
        <w:t>siglo</w:t>
      </w:r>
      <w:proofErr w:type="spellEnd"/>
      <w:r w:rsidRPr="002150A5">
        <w:rPr>
          <w:lang w:val="en-US"/>
        </w:rPr>
        <w:t xml:space="preserve"> </w:t>
      </w:r>
      <w:proofErr w:type="spellStart"/>
      <w:r w:rsidRPr="002150A5">
        <w:rPr>
          <w:lang w:val="en-US"/>
        </w:rPr>
        <w:t>pasado</w:t>
      </w:r>
      <w:proofErr w:type="spellEnd"/>
      <w:r w:rsidRPr="002150A5">
        <w:rPr>
          <w:lang w:val="en-US"/>
        </w:rPr>
        <w:t xml:space="preserve">, </w:t>
      </w:r>
      <w:proofErr w:type="spellStart"/>
      <w:r w:rsidRPr="002150A5">
        <w:rPr>
          <w:lang w:val="en-US"/>
        </w:rPr>
        <w:t>organismos</w:t>
      </w:r>
      <w:proofErr w:type="spellEnd"/>
      <w:r w:rsidRPr="002150A5">
        <w:rPr>
          <w:lang w:val="en-US"/>
        </w:rPr>
        <w:t xml:space="preserve"> </w:t>
      </w:r>
      <w:proofErr w:type="spellStart"/>
      <w:r w:rsidRPr="002150A5">
        <w:rPr>
          <w:lang w:val="en-US"/>
        </w:rPr>
        <w:t>internacionales</w:t>
      </w:r>
      <w:proofErr w:type="spellEnd"/>
      <w:r w:rsidRPr="002150A5">
        <w:rPr>
          <w:lang w:val="en-US"/>
        </w:rPr>
        <w:t xml:space="preserve">, tales </w:t>
      </w:r>
      <w:proofErr w:type="spellStart"/>
      <w:r w:rsidRPr="002150A5">
        <w:rPr>
          <w:lang w:val="en-US"/>
        </w:rPr>
        <w:t>como</w:t>
      </w:r>
      <w:proofErr w:type="spellEnd"/>
      <w:r w:rsidRPr="002150A5">
        <w:rPr>
          <w:lang w:val="en-US"/>
        </w:rPr>
        <w:t xml:space="preserve"> Basel Committee on Banking Supervision, Committee on Payments and Market Infrastructures</w:t>
      </w:r>
      <w:r>
        <w:rPr>
          <w:lang w:val="en-US"/>
        </w:rPr>
        <w:t xml:space="preserve">, </w:t>
      </w:r>
      <w:r w:rsidRPr="002150A5">
        <w:rPr>
          <w:lang w:val="en-US"/>
        </w:rPr>
        <w:t>Committee on the Global Financial System</w:t>
      </w:r>
      <w:r>
        <w:rPr>
          <w:lang w:val="en-US"/>
        </w:rPr>
        <w:t xml:space="preserve">, </w:t>
      </w:r>
      <w:r w:rsidRPr="002150A5">
        <w:rPr>
          <w:lang w:val="en-US"/>
        </w:rPr>
        <w:t>International Association of Insurance Supervisors</w:t>
      </w:r>
      <w:r>
        <w:rPr>
          <w:lang w:val="en-US"/>
        </w:rPr>
        <w:t xml:space="preserve">, </w:t>
      </w:r>
      <w:r w:rsidRPr="002150A5">
        <w:rPr>
          <w:lang w:val="en-US"/>
        </w:rPr>
        <w:t>International Accounting Standards Board</w:t>
      </w:r>
      <w:r>
        <w:rPr>
          <w:lang w:val="en-US"/>
        </w:rPr>
        <w:t xml:space="preserve"> </w:t>
      </w:r>
      <w:proofErr w:type="gramStart"/>
      <w:r>
        <w:rPr>
          <w:lang w:val="en-US"/>
        </w:rPr>
        <w:t>e</w:t>
      </w:r>
      <w:proofErr w:type="gramEnd"/>
      <w:r>
        <w:rPr>
          <w:lang w:val="en-US"/>
        </w:rPr>
        <w:t xml:space="preserve"> </w:t>
      </w:r>
      <w:r w:rsidRPr="002150A5">
        <w:rPr>
          <w:lang w:val="en-US"/>
        </w:rPr>
        <w:t>International Organization of Securities Commissions</w:t>
      </w:r>
      <w:r>
        <w:rPr>
          <w:lang w:val="en-US"/>
        </w:rPr>
        <w:t xml:space="preserve">, </w:t>
      </w:r>
      <w:proofErr w:type="spellStart"/>
      <w:r>
        <w:rPr>
          <w:lang w:val="en-US"/>
        </w:rPr>
        <w:t>han</w:t>
      </w:r>
      <w:proofErr w:type="spellEnd"/>
      <w:r>
        <w:rPr>
          <w:lang w:val="en-US"/>
        </w:rPr>
        <w:t xml:space="preserve"> </w:t>
      </w:r>
      <w:proofErr w:type="spellStart"/>
      <w:r>
        <w:rPr>
          <w:lang w:val="en-US"/>
        </w:rPr>
        <w:t>estado</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contacto</w:t>
      </w:r>
      <w:proofErr w:type="spellEnd"/>
      <w:r>
        <w:rPr>
          <w:lang w:val="en-US"/>
        </w:rPr>
        <w:t xml:space="preserve"> con el </w:t>
      </w:r>
      <w:proofErr w:type="spellStart"/>
      <w:r w:rsidRPr="002150A5">
        <w:rPr>
          <w:smallCaps/>
          <w:lang w:val="en-US"/>
        </w:rPr>
        <w:t>Iasb</w:t>
      </w:r>
      <w:proofErr w:type="spellEnd"/>
      <w:r>
        <w:rPr>
          <w:lang w:val="en-US"/>
        </w:rPr>
        <w:t xml:space="preserve"> y el </w:t>
      </w:r>
      <w:proofErr w:type="spellStart"/>
      <w:r w:rsidRPr="002150A5">
        <w:rPr>
          <w:smallCaps/>
          <w:lang w:val="en-US"/>
        </w:rPr>
        <w:t>Iaasb</w:t>
      </w:r>
      <w:proofErr w:type="spellEnd"/>
      <w:r>
        <w:rPr>
          <w:lang w:val="en-US"/>
        </w:rPr>
        <w:t xml:space="preserve">. </w:t>
      </w:r>
      <w:r w:rsidRPr="00C345BC">
        <w:rPr>
          <w:lang w:val="en-US"/>
        </w:rPr>
        <w:t>De</w:t>
      </w:r>
      <w:r w:rsidR="00C345BC" w:rsidRPr="00C345BC">
        <w:rPr>
          <w:lang w:val="en-US"/>
        </w:rPr>
        <w:t xml:space="preserve"> </w:t>
      </w:r>
      <w:proofErr w:type="spellStart"/>
      <w:r w:rsidRPr="00C345BC">
        <w:rPr>
          <w:lang w:val="en-US"/>
        </w:rPr>
        <w:t>igual</w:t>
      </w:r>
      <w:proofErr w:type="spellEnd"/>
      <w:r w:rsidRPr="00C345BC">
        <w:rPr>
          <w:lang w:val="en-US"/>
        </w:rPr>
        <w:t xml:space="preserve"> </w:t>
      </w:r>
      <w:proofErr w:type="spellStart"/>
      <w:r w:rsidRPr="00C345BC">
        <w:rPr>
          <w:lang w:val="en-US"/>
        </w:rPr>
        <w:t>manera</w:t>
      </w:r>
      <w:proofErr w:type="spellEnd"/>
      <w:r w:rsidRPr="00C345BC">
        <w:rPr>
          <w:lang w:val="en-US"/>
        </w:rPr>
        <w:t xml:space="preserve">, a </w:t>
      </w:r>
      <w:proofErr w:type="spellStart"/>
      <w:r w:rsidRPr="00C345BC">
        <w:rPr>
          <w:lang w:val="en-US"/>
        </w:rPr>
        <w:t>través</w:t>
      </w:r>
      <w:proofErr w:type="spellEnd"/>
      <w:r w:rsidRPr="00C345BC">
        <w:rPr>
          <w:lang w:val="en-US"/>
        </w:rPr>
        <w:t xml:space="preserve"> de la actual Junta de </w:t>
      </w:r>
      <w:proofErr w:type="spellStart"/>
      <w:r w:rsidRPr="00C345BC">
        <w:rPr>
          <w:lang w:val="en-US"/>
        </w:rPr>
        <w:t>Estabilidad</w:t>
      </w:r>
      <w:proofErr w:type="spellEnd"/>
      <w:r w:rsidRPr="00C345BC">
        <w:rPr>
          <w:lang w:val="en-US"/>
        </w:rPr>
        <w:t xml:space="preserve"> </w:t>
      </w:r>
      <w:proofErr w:type="spellStart"/>
      <w:r w:rsidRPr="00C345BC">
        <w:rPr>
          <w:lang w:val="en-US"/>
        </w:rPr>
        <w:t>Fina</w:t>
      </w:r>
      <w:r w:rsidR="00BD7757">
        <w:rPr>
          <w:lang w:val="en-US"/>
        </w:rPr>
        <w:t>n</w:t>
      </w:r>
      <w:r w:rsidRPr="00C345BC">
        <w:rPr>
          <w:lang w:val="en-US"/>
        </w:rPr>
        <w:t>ciera</w:t>
      </w:r>
      <w:proofErr w:type="spellEnd"/>
      <w:r w:rsidRPr="00C345BC">
        <w:rPr>
          <w:lang w:val="en-US"/>
        </w:rPr>
        <w:t xml:space="preserve">, antes </w:t>
      </w:r>
      <w:proofErr w:type="spellStart"/>
      <w:r w:rsidRPr="00C345BC">
        <w:rPr>
          <w:lang w:val="en-US"/>
        </w:rPr>
        <w:t>Foro</w:t>
      </w:r>
      <w:proofErr w:type="spellEnd"/>
      <w:r w:rsidRPr="00C345BC">
        <w:rPr>
          <w:lang w:val="en-US"/>
        </w:rPr>
        <w:t xml:space="preserve"> de </w:t>
      </w:r>
      <w:proofErr w:type="spellStart"/>
      <w:r w:rsidRPr="00C345BC">
        <w:rPr>
          <w:lang w:val="en-US"/>
        </w:rPr>
        <w:t>Estabilidad</w:t>
      </w:r>
      <w:proofErr w:type="spellEnd"/>
      <w:r w:rsidRPr="00C345BC">
        <w:rPr>
          <w:lang w:val="en-US"/>
        </w:rPr>
        <w:t xml:space="preserve"> </w:t>
      </w:r>
      <w:proofErr w:type="spellStart"/>
      <w:r w:rsidRPr="00C345BC">
        <w:rPr>
          <w:lang w:val="en-US"/>
        </w:rPr>
        <w:t>Fina</w:t>
      </w:r>
      <w:r w:rsidR="00BD7757">
        <w:rPr>
          <w:lang w:val="en-US"/>
        </w:rPr>
        <w:t>n</w:t>
      </w:r>
      <w:r w:rsidRPr="00C345BC">
        <w:rPr>
          <w:lang w:val="en-US"/>
        </w:rPr>
        <w:t>ciera</w:t>
      </w:r>
      <w:proofErr w:type="spellEnd"/>
      <w:r w:rsidRPr="00C345BC">
        <w:rPr>
          <w:lang w:val="en-US"/>
        </w:rPr>
        <w:t xml:space="preserve">, se </w:t>
      </w:r>
      <w:proofErr w:type="spellStart"/>
      <w:r w:rsidRPr="00C345BC">
        <w:rPr>
          <w:lang w:val="en-US"/>
        </w:rPr>
        <w:t>han</w:t>
      </w:r>
      <w:proofErr w:type="spellEnd"/>
      <w:r w:rsidRPr="00C345BC">
        <w:rPr>
          <w:lang w:val="en-US"/>
        </w:rPr>
        <w:t xml:space="preserve"> </w:t>
      </w:r>
      <w:proofErr w:type="spellStart"/>
      <w:r w:rsidRPr="00C345BC">
        <w:rPr>
          <w:lang w:val="en-US"/>
        </w:rPr>
        <w:t>mantenido</w:t>
      </w:r>
      <w:proofErr w:type="spellEnd"/>
      <w:r w:rsidRPr="00C345BC">
        <w:rPr>
          <w:lang w:val="en-US"/>
        </w:rPr>
        <w:t xml:space="preserve"> </w:t>
      </w:r>
      <w:proofErr w:type="spellStart"/>
      <w:r w:rsidRPr="00C345BC">
        <w:rPr>
          <w:lang w:val="en-US"/>
        </w:rPr>
        <w:t>relaciones</w:t>
      </w:r>
      <w:proofErr w:type="spellEnd"/>
      <w:r w:rsidRPr="00C345BC">
        <w:rPr>
          <w:lang w:val="en-US"/>
        </w:rPr>
        <w:t xml:space="preserve"> con </w:t>
      </w:r>
      <w:r w:rsidR="00C345BC">
        <w:rPr>
          <w:lang w:val="en-US"/>
        </w:rPr>
        <w:t xml:space="preserve">el </w:t>
      </w:r>
      <w:r w:rsidRPr="00C345BC">
        <w:rPr>
          <w:lang w:val="en-US"/>
        </w:rPr>
        <w:t xml:space="preserve">Bank for International Settlements, </w:t>
      </w:r>
      <w:r w:rsidRPr="002150A5">
        <w:rPr>
          <w:lang w:val="en-US"/>
        </w:rPr>
        <w:t>International Monetary Fund</w:t>
      </w:r>
      <w:r w:rsidR="00C345BC">
        <w:rPr>
          <w:lang w:val="en-US"/>
        </w:rPr>
        <w:t xml:space="preserve">, </w:t>
      </w:r>
      <w:r w:rsidRPr="002150A5">
        <w:rPr>
          <w:lang w:val="en-US"/>
        </w:rPr>
        <w:t>The World Bank</w:t>
      </w:r>
      <w:r w:rsidR="00C345BC">
        <w:rPr>
          <w:lang w:val="en-US"/>
        </w:rPr>
        <w:t xml:space="preserve">, </w:t>
      </w:r>
      <w:proofErr w:type="spellStart"/>
      <w:r w:rsidRPr="002150A5">
        <w:rPr>
          <w:lang w:val="en-US"/>
        </w:rPr>
        <w:t>Organisation</w:t>
      </w:r>
      <w:proofErr w:type="spellEnd"/>
      <w:r w:rsidRPr="002150A5">
        <w:rPr>
          <w:lang w:val="en-US"/>
        </w:rPr>
        <w:t xml:space="preserve"> for Economic Co-operation and Development</w:t>
      </w:r>
      <w:r w:rsidR="00C345BC">
        <w:rPr>
          <w:lang w:val="en-US"/>
        </w:rPr>
        <w:t xml:space="preserve">, </w:t>
      </w:r>
      <w:r w:rsidRPr="002150A5">
        <w:rPr>
          <w:lang w:val="en-US"/>
        </w:rPr>
        <w:t>European Commission</w:t>
      </w:r>
      <w:r w:rsidR="00C345BC">
        <w:rPr>
          <w:lang w:val="en-US"/>
        </w:rPr>
        <w:t xml:space="preserve">, </w:t>
      </w:r>
      <w:r w:rsidRPr="002150A5">
        <w:rPr>
          <w:lang w:val="en-US"/>
        </w:rPr>
        <w:t>European Central Bank</w:t>
      </w:r>
      <w:r w:rsidR="00C345BC">
        <w:rPr>
          <w:lang w:val="en-US"/>
        </w:rPr>
        <w:t xml:space="preserve"> y el </w:t>
      </w:r>
      <w:r w:rsidRPr="002150A5">
        <w:rPr>
          <w:lang w:val="en-US"/>
        </w:rPr>
        <w:t>ECB Banking Supervision</w:t>
      </w:r>
      <w:r w:rsidR="00C345BC">
        <w:rPr>
          <w:lang w:val="en-US"/>
        </w:rPr>
        <w:t xml:space="preserve">. </w:t>
      </w:r>
      <w:r w:rsidR="00C345BC" w:rsidRPr="00C345BC">
        <w:t xml:space="preserve">A la importancia y el prestigio de los miembros de </w:t>
      </w:r>
      <w:r w:rsidR="00C345BC" w:rsidRPr="00C345BC">
        <w:rPr>
          <w:smallCaps/>
        </w:rPr>
        <w:t>Ifac</w:t>
      </w:r>
      <w:r w:rsidR="00C345BC" w:rsidRPr="00C345BC">
        <w:t xml:space="preserve"> se añaden las de sus afiliados, observadores </w:t>
      </w:r>
      <w:r w:rsidR="00C345BC">
        <w:t>y</w:t>
      </w:r>
      <w:r w:rsidR="00C345BC" w:rsidRPr="00C345BC">
        <w:t xml:space="preserve"> redes de colaboración</w:t>
      </w:r>
      <w:r w:rsidR="00C345BC">
        <w:t xml:space="preserve">. Semejante costelación de entidades puede cometer errores, pero en principio sus manifestaciones deben considerarse cuidadosamente. Curiosamente nosotros, al tiempo que somos miembros de </w:t>
      </w:r>
      <w:r w:rsidR="00C345BC" w:rsidRPr="00C345BC">
        <w:rPr>
          <w:smallCaps/>
        </w:rPr>
        <w:t>Ifac</w:t>
      </w:r>
      <w:r w:rsidR="00C345BC">
        <w:t xml:space="preserve">, tenemos un grupo en franca oposición </w:t>
      </w:r>
      <w:r w:rsidR="00C345BC">
        <w:t xml:space="preserve">al esfuerzo de converger hacia los estándares internacionales sobre contabilidad, información financiera y aseguramiento de información. En verdad como comunidad contable no hemos profundizado en los estándares emitidos por el </w:t>
      </w:r>
      <w:r w:rsidR="00C345BC" w:rsidRPr="00C345BC">
        <w:rPr>
          <w:smallCaps/>
        </w:rPr>
        <w:t>Iasb</w:t>
      </w:r>
      <w:r w:rsidR="00C345BC">
        <w:t xml:space="preserve"> ni en los que se han publicado por el </w:t>
      </w:r>
      <w:proofErr w:type="spellStart"/>
      <w:r w:rsidR="00C345BC" w:rsidRPr="00C345BC">
        <w:rPr>
          <w:smallCaps/>
        </w:rPr>
        <w:t>Iaesb</w:t>
      </w:r>
      <w:proofErr w:type="spellEnd"/>
      <w:r w:rsidR="00C345BC">
        <w:t xml:space="preserve">, el </w:t>
      </w:r>
      <w:proofErr w:type="spellStart"/>
      <w:r w:rsidR="00C345BC" w:rsidRPr="00C345BC">
        <w:rPr>
          <w:smallCaps/>
        </w:rPr>
        <w:t>Iesba</w:t>
      </w:r>
      <w:proofErr w:type="spellEnd"/>
      <w:r w:rsidR="00C345BC">
        <w:t xml:space="preserve"> o el </w:t>
      </w:r>
      <w:proofErr w:type="spellStart"/>
      <w:r w:rsidR="00C345BC" w:rsidRPr="00C345BC">
        <w:rPr>
          <w:smallCaps/>
        </w:rPr>
        <w:t>Iaasb</w:t>
      </w:r>
      <w:proofErr w:type="spellEnd"/>
      <w:r w:rsidR="00C345BC">
        <w:t>.</w:t>
      </w:r>
      <w:r w:rsidR="00743809">
        <w:t xml:space="preserve"> Hoy sabemos sobre tales estándares mucho más que antes del 2009 pero no lo suficiente para haber cambiado nuestro conocimiento científico</w:t>
      </w:r>
      <w:r w:rsidR="00EC27B5">
        <w:t>, nuestra tecnología o nuestras técnicas. Hay varios indicadores de nuestro parcial</w:t>
      </w:r>
      <w:r w:rsidR="00CA6DC6">
        <w:t xml:space="preserve">, es decir, </w:t>
      </w:r>
      <w:r w:rsidR="00EC27B5">
        <w:t>no completo acercamiento.</w:t>
      </w:r>
      <w:r w:rsidR="00CA6DC6">
        <w:t xml:space="preserve"> Se destaca el discurso académico, el razonamiento y la conducta de los órganos de la profesión (</w:t>
      </w:r>
      <w:proofErr w:type="spellStart"/>
      <w:r w:rsidR="00CA6DC6" w:rsidRPr="00CA6DC6">
        <w:rPr>
          <w:smallCaps/>
        </w:rPr>
        <w:t>Ctcp</w:t>
      </w:r>
      <w:proofErr w:type="spellEnd"/>
      <w:r w:rsidR="00CA6DC6">
        <w:t xml:space="preserve"> y </w:t>
      </w:r>
      <w:proofErr w:type="spellStart"/>
      <w:r w:rsidR="00CA6DC6" w:rsidRPr="00CA6DC6">
        <w:rPr>
          <w:smallCaps/>
        </w:rPr>
        <w:t>Jcc</w:t>
      </w:r>
      <w:proofErr w:type="spellEnd"/>
      <w:r w:rsidR="00CA6DC6">
        <w:t>), los conceptos de las autoridades tributarias, acogidos por el Congreso de la República y, obviamente, los pronunciamientos de los opositores del proceso. Muchos creemos que si somos capaces de navegar sobre las olas podemos considerarnos científicos. Pero esto es falso.</w:t>
      </w:r>
      <w:r w:rsidR="00235753">
        <w:t xml:space="preserve"> Cada día más tenemos que estudiar y mantener competencia sobre la información, teoría indispensable para ser idóneo en materia de contabilidad, sobre todo hoy cuando es innegable que estamos aceptando que la contabilidad financiera no es la contabilidad.</w:t>
      </w:r>
      <w:r w:rsidR="006720DA">
        <w:t xml:space="preserve"> Según el </w:t>
      </w:r>
      <w:proofErr w:type="spellStart"/>
      <w:r w:rsidR="006720DA" w:rsidRPr="006720DA">
        <w:rPr>
          <w:smallCaps/>
        </w:rPr>
        <w:t>Iaesb</w:t>
      </w:r>
      <w:proofErr w:type="spellEnd"/>
      <w:r w:rsidR="006720DA">
        <w:t xml:space="preserve">, al nivel intermedio de competencia requiere de habilidades intelectuales entre las que se encuentran: </w:t>
      </w:r>
      <w:r w:rsidR="006720DA" w:rsidRPr="006720DA">
        <w:rPr>
          <w:i/>
          <w:iCs/>
        </w:rPr>
        <w:t xml:space="preserve">“(i) </w:t>
      </w:r>
      <w:proofErr w:type="spellStart"/>
      <w:r w:rsidR="006720DA" w:rsidRPr="006720DA">
        <w:rPr>
          <w:i/>
          <w:iCs/>
        </w:rPr>
        <w:t>Evaluate</w:t>
      </w:r>
      <w:proofErr w:type="spellEnd"/>
      <w:r w:rsidR="006720DA" w:rsidRPr="006720DA">
        <w:rPr>
          <w:i/>
          <w:iCs/>
        </w:rPr>
        <w:t xml:space="preserve"> data and </w:t>
      </w:r>
      <w:proofErr w:type="spellStart"/>
      <w:r w:rsidR="006720DA" w:rsidRPr="006720DA">
        <w:rPr>
          <w:i/>
          <w:iCs/>
        </w:rPr>
        <w:t>information</w:t>
      </w:r>
      <w:proofErr w:type="spellEnd"/>
      <w:r w:rsidR="006720DA" w:rsidRPr="006720DA">
        <w:rPr>
          <w:i/>
          <w:iCs/>
        </w:rPr>
        <w:t xml:space="preserve"> </w:t>
      </w:r>
      <w:proofErr w:type="spellStart"/>
      <w:r w:rsidR="006720DA" w:rsidRPr="006720DA">
        <w:rPr>
          <w:i/>
          <w:iCs/>
        </w:rPr>
        <w:t>from</w:t>
      </w:r>
      <w:proofErr w:type="spellEnd"/>
      <w:r w:rsidR="006720DA" w:rsidRPr="006720DA">
        <w:rPr>
          <w:i/>
          <w:iCs/>
        </w:rPr>
        <w:t xml:space="preserve"> a </w:t>
      </w:r>
      <w:proofErr w:type="spellStart"/>
      <w:r w:rsidR="006720DA" w:rsidRPr="006720DA">
        <w:rPr>
          <w:i/>
          <w:iCs/>
        </w:rPr>
        <w:t>variety</w:t>
      </w:r>
      <w:proofErr w:type="spellEnd"/>
      <w:r w:rsidR="006720DA" w:rsidRPr="006720DA">
        <w:rPr>
          <w:i/>
          <w:iCs/>
        </w:rPr>
        <w:t xml:space="preserve"> </w:t>
      </w:r>
      <w:proofErr w:type="spellStart"/>
      <w:r w:rsidR="006720DA" w:rsidRPr="006720DA">
        <w:rPr>
          <w:i/>
          <w:iCs/>
        </w:rPr>
        <w:t>of</w:t>
      </w:r>
      <w:proofErr w:type="spellEnd"/>
      <w:r w:rsidR="006720DA" w:rsidRPr="006720DA">
        <w:rPr>
          <w:i/>
          <w:iCs/>
        </w:rPr>
        <w:t xml:space="preserve"> </w:t>
      </w:r>
      <w:proofErr w:type="spellStart"/>
      <w:r w:rsidR="006720DA" w:rsidRPr="006720DA">
        <w:rPr>
          <w:i/>
          <w:iCs/>
        </w:rPr>
        <w:t>sources</w:t>
      </w:r>
      <w:proofErr w:type="spellEnd"/>
      <w:r w:rsidR="006720DA" w:rsidRPr="006720DA">
        <w:rPr>
          <w:i/>
          <w:iCs/>
        </w:rPr>
        <w:t xml:space="preserve"> and </w:t>
      </w:r>
      <w:proofErr w:type="spellStart"/>
      <w:r w:rsidR="006720DA" w:rsidRPr="006720DA">
        <w:rPr>
          <w:i/>
          <w:iCs/>
        </w:rPr>
        <w:t>perspectives</w:t>
      </w:r>
      <w:proofErr w:type="spellEnd"/>
      <w:r w:rsidR="006720DA" w:rsidRPr="006720DA">
        <w:rPr>
          <w:i/>
          <w:iCs/>
        </w:rPr>
        <w:t xml:space="preserve"> </w:t>
      </w:r>
      <w:proofErr w:type="spellStart"/>
      <w:r w:rsidR="006720DA" w:rsidRPr="006720DA">
        <w:rPr>
          <w:i/>
          <w:iCs/>
        </w:rPr>
        <w:t>through</w:t>
      </w:r>
      <w:proofErr w:type="spellEnd"/>
      <w:r w:rsidR="006720DA" w:rsidRPr="006720DA">
        <w:rPr>
          <w:i/>
          <w:iCs/>
        </w:rPr>
        <w:t xml:space="preserve"> </w:t>
      </w:r>
      <w:proofErr w:type="spellStart"/>
      <w:r w:rsidR="006720DA" w:rsidRPr="006720DA">
        <w:rPr>
          <w:i/>
          <w:iCs/>
        </w:rPr>
        <w:t>research</w:t>
      </w:r>
      <w:proofErr w:type="spellEnd"/>
      <w:r w:rsidR="006720DA" w:rsidRPr="006720DA">
        <w:rPr>
          <w:i/>
          <w:iCs/>
        </w:rPr>
        <w:t xml:space="preserve">, </w:t>
      </w:r>
      <w:proofErr w:type="spellStart"/>
      <w:r w:rsidR="006720DA" w:rsidRPr="006720DA">
        <w:rPr>
          <w:i/>
          <w:iCs/>
        </w:rPr>
        <w:t>integration</w:t>
      </w:r>
      <w:proofErr w:type="spellEnd"/>
      <w:r w:rsidR="006720DA" w:rsidRPr="006720DA">
        <w:rPr>
          <w:i/>
          <w:iCs/>
        </w:rPr>
        <w:t xml:space="preserve">, and </w:t>
      </w:r>
      <w:proofErr w:type="spellStart"/>
      <w:r w:rsidR="006720DA" w:rsidRPr="006720DA">
        <w:rPr>
          <w:i/>
          <w:iCs/>
        </w:rPr>
        <w:t>analysis</w:t>
      </w:r>
      <w:proofErr w:type="spellEnd"/>
      <w:r w:rsidR="006720DA" w:rsidRPr="006720DA">
        <w:rPr>
          <w:i/>
          <w:iCs/>
        </w:rPr>
        <w:t xml:space="preserve">. </w:t>
      </w:r>
      <w:r w:rsidR="006720DA" w:rsidRPr="006720DA">
        <w:rPr>
          <w:i/>
          <w:iCs/>
          <w:lang w:val="en-US"/>
        </w:rPr>
        <w:t>(ii) Apply critical thinking skills to solve problems, inform judgments, make decisions, and reach well-reasoned conclusions</w:t>
      </w:r>
      <w:r w:rsidR="006720DA">
        <w:rPr>
          <w:lang w:val="en-US"/>
        </w:rPr>
        <w:t>”</w:t>
      </w:r>
    </w:p>
    <w:p w14:paraId="79AA821B" w14:textId="27834313" w:rsidR="006720DA" w:rsidRPr="006720DA" w:rsidRDefault="006720DA" w:rsidP="006720DA">
      <w:pPr>
        <w:jc w:val="right"/>
        <w:rPr>
          <w:lang w:val="en-US"/>
        </w:rPr>
      </w:pPr>
      <w:r w:rsidRPr="003C4ED4">
        <w:rPr>
          <w:i/>
          <w:iCs/>
        </w:rPr>
        <w:t>Hernando Bermúdez Gómez</w:t>
      </w:r>
    </w:p>
    <w:sectPr w:rsidR="006720DA" w:rsidRPr="006720D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60B1" w14:textId="77777777" w:rsidR="007F0F53" w:rsidRDefault="007F0F53" w:rsidP="00EE7812">
      <w:pPr>
        <w:spacing w:after="0" w:line="240" w:lineRule="auto"/>
      </w:pPr>
      <w:r>
        <w:separator/>
      </w:r>
    </w:p>
  </w:endnote>
  <w:endnote w:type="continuationSeparator" w:id="0">
    <w:p w14:paraId="78225CC5" w14:textId="77777777" w:rsidR="007F0F53" w:rsidRDefault="007F0F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7FE9" w14:textId="77777777" w:rsidR="007F0F53" w:rsidRDefault="007F0F53" w:rsidP="00EE7812">
      <w:pPr>
        <w:spacing w:after="0" w:line="240" w:lineRule="auto"/>
      </w:pPr>
      <w:r>
        <w:separator/>
      </w:r>
    </w:p>
  </w:footnote>
  <w:footnote w:type="continuationSeparator" w:id="0">
    <w:p w14:paraId="688BFA95" w14:textId="77777777" w:rsidR="007F0F53" w:rsidRDefault="007F0F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B9B91C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492091">
      <w:t>5</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3577561">
    <w:abstractNumId w:val="0"/>
  </w:num>
  <w:num w:numId="2" w16cid:durableId="2137750117">
    <w:abstractNumId w:val="21"/>
  </w:num>
  <w:num w:numId="3" w16cid:durableId="564343040">
    <w:abstractNumId w:val="15"/>
  </w:num>
  <w:num w:numId="4" w16cid:durableId="1792431846">
    <w:abstractNumId w:val="2"/>
  </w:num>
  <w:num w:numId="5" w16cid:durableId="1199470940">
    <w:abstractNumId w:val="20"/>
  </w:num>
  <w:num w:numId="6" w16cid:durableId="200213240">
    <w:abstractNumId w:val="35"/>
  </w:num>
  <w:num w:numId="7" w16cid:durableId="1645305719">
    <w:abstractNumId w:val="13"/>
  </w:num>
  <w:num w:numId="8" w16cid:durableId="526723721">
    <w:abstractNumId w:val="33"/>
  </w:num>
  <w:num w:numId="9" w16cid:durableId="1013722535">
    <w:abstractNumId w:val="38"/>
  </w:num>
  <w:num w:numId="10" w16cid:durableId="1469739549">
    <w:abstractNumId w:val="4"/>
  </w:num>
  <w:num w:numId="11" w16cid:durableId="322198532">
    <w:abstractNumId w:val="6"/>
  </w:num>
  <w:num w:numId="12" w16cid:durableId="159588045">
    <w:abstractNumId w:val="19"/>
  </w:num>
  <w:num w:numId="13" w16cid:durableId="459228654">
    <w:abstractNumId w:val="22"/>
  </w:num>
  <w:num w:numId="14" w16cid:durableId="743991372">
    <w:abstractNumId w:val="32"/>
  </w:num>
  <w:num w:numId="15" w16cid:durableId="35087096">
    <w:abstractNumId w:val="9"/>
  </w:num>
  <w:num w:numId="16" w16cid:durableId="2133791696">
    <w:abstractNumId w:val="7"/>
  </w:num>
  <w:num w:numId="17" w16cid:durableId="1181435326">
    <w:abstractNumId w:val="17"/>
  </w:num>
  <w:num w:numId="18" w16cid:durableId="1198540660">
    <w:abstractNumId w:val="31"/>
  </w:num>
  <w:num w:numId="19" w16cid:durableId="1678996405">
    <w:abstractNumId w:val="26"/>
  </w:num>
  <w:num w:numId="20" w16cid:durableId="699432337">
    <w:abstractNumId w:val="8"/>
  </w:num>
  <w:num w:numId="21" w16cid:durableId="1315379263">
    <w:abstractNumId w:val="27"/>
  </w:num>
  <w:num w:numId="22" w16cid:durableId="1560170293">
    <w:abstractNumId w:val="28"/>
  </w:num>
  <w:num w:numId="23" w16cid:durableId="1825852067">
    <w:abstractNumId w:val="29"/>
  </w:num>
  <w:num w:numId="24" w16cid:durableId="1515802750">
    <w:abstractNumId w:val="34"/>
  </w:num>
  <w:num w:numId="25" w16cid:durableId="517693104">
    <w:abstractNumId w:val="23"/>
  </w:num>
  <w:num w:numId="26" w16cid:durableId="199636077">
    <w:abstractNumId w:val="14"/>
  </w:num>
  <w:num w:numId="27" w16cid:durableId="977103950">
    <w:abstractNumId w:val="5"/>
  </w:num>
  <w:num w:numId="28" w16cid:durableId="1787655226">
    <w:abstractNumId w:val="24"/>
  </w:num>
  <w:num w:numId="29" w16cid:durableId="1502164410">
    <w:abstractNumId w:val="1"/>
  </w:num>
  <w:num w:numId="30" w16cid:durableId="198278742">
    <w:abstractNumId w:val="25"/>
  </w:num>
  <w:num w:numId="31" w16cid:durableId="2125928789">
    <w:abstractNumId w:val="30"/>
  </w:num>
  <w:num w:numId="32" w16cid:durableId="2047945268">
    <w:abstractNumId w:val="12"/>
  </w:num>
  <w:num w:numId="33" w16cid:durableId="1469786599">
    <w:abstractNumId w:val="18"/>
  </w:num>
  <w:num w:numId="34" w16cid:durableId="882791172">
    <w:abstractNumId w:val="3"/>
  </w:num>
  <w:num w:numId="35" w16cid:durableId="1662083638">
    <w:abstractNumId w:val="36"/>
  </w:num>
  <w:num w:numId="36" w16cid:durableId="1241521090">
    <w:abstractNumId w:val="10"/>
  </w:num>
  <w:num w:numId="37" w16cid:durableId="318731491">
    <w:abstractNumId w:val="11"/>
  </w:num>
  <w:num w:numId="38" w16cid:durableId="1721706624">
    <w:abstractNumId w:val="37"/>
  </w:num>
  <w:num w:numId="39" w16cid:durableId="14664635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53"/>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F1EDB86-BB86-4220-B802-31A1E63A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2023-06-02T19:29:00Z</dcterms:created>
  <dcterms:modified xsi:type="dcterms:W3CDTF">2023-06-02T19:29:00Z</dcterms:modified>
</cp:coreProperties>
</file>