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5866" w14:textId="5F64C24B" w:rsidR="00D70043" w:rsidRPr="00D70043" w:rsidRDefault="00D70043" w:rsidP="00D700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70043">
        <w:rPr>
          <w:position w:val="-9"/>
          <w:sz w:val="123"/>
        </w:rPr>
        <w:t>E</w:t>
      </w:r>
    </w:p>
    <w:p w14:paraId="4AC77C20" w14:textId="091DD834" w:rsidR="00085C00" w:rsidRDefault="00D70043" w:rsidP="00D70043">
      <w:r w:rsidRPr="009B2994">
        <w:rPr>
          <w:lang w:val="en-US"/>
        </w:rPr>
        <w:t xml:space="preserve">n </w:t>
      </w:r>
      <w:proofErr w:type="spellStart"/>
      <w:r w:rsidRPr="009B2994">
        <w:rPr>
          <w:lang w:val="en-US"/>
        </w:rPr>
        <w:t>una</w:t>
      </w:r>
      <w:proofErr w:type="spellEnd"/>
      <w:r w:rsidRPr="009B2994">
        <w:rPr>
          <w:lang w:val="en-US"/>
        </w:rPr>
        <w:t xml:space="preserve"> </w:t>
      </w:r>
      <w:proofErr w:type="spellStart"/>
      <w:r w:rsidRPr="009B2994">
        <w:rPr>
          <w:lang w:val="en-US"/>
        </w:rPr>
        <w:t>entrevista</w:t>
      </w:r>
      <w:proofErr w:type="spellEnd"/>
      <w:r w:rsidRPr="009B2994">
        <w:rPr>
          <w:lang w:val="en-US"/>
        </w:rPr>
        <w:t xml:space="preserve">, </w:t>
      </w:r>
      <w:proofErr w:type="spellStart"/>
      <w:r w:rsidRPr="009B2994">
        <w:rPr>
          <w:lang w:val="en-US"/>
        </w:rPr>
        <w:t>publicada</w:t>
      </w:r>
      <w:proofErr w:type="spellEnd"/>
      <w:r w:rsidRPr="009B2994">
        <w:rPr>
          <w:lang w:val="en-US"/>
        </w:rPr>
        <w:t xml:space="preserve"> </w:t>
      </w:r>
      <w:proofErr w:type="spellStart"/>
      <w:r w:rsidRPr="009B2994">
        <w:rPr>
          <w:lang w:val="en-US"/>
        </w:rPr>
        <w:t>por</w:t>
      </w:r>
      <w:proofErr w:type="spellEnd"/>
      <w:r w:rsidRPr="009B2994">
        <w:rPr>
          <w:lang w:val="en-US"/>
        </w:rPr>
        <w:t xml:space="preserve"> </w:t>
      </w:r>
      <w:hyperlink r:id="rId11" w:history="1">
        <w:r w:rsidRPr="009B2994">
          <w:rPr>
            <w:rStyle w:val="Hipervnculo"/>
            <w:lang w:val="en-US"/>
          </w:rPr>
          <w:t>The Developing Accountant Supplement ISSUE 1</w:t>
        </w:r>
      </w:hyperlink>
      <w:r w:rsidRPr="009B2994">
        <w:rPr>
          <w:lang w:val="en-US"/>
        </w:rPr>
        <w:t>, se lee: “</w:t>
      </w:r>
      <w:r w:rsidRPr="009B2994">
        <w:rPr>
          <w:i/>
          <w:lang w:val="en-US"/>
        </w:rPr>
        <w:t>Zoya Malik: What are the unique strengths you bring from your cultural and academic background and drive to lend a diverse standpoint alongside IFAC colleagues? ―</w:t>
      </w:r>
      <w:proofErr w:type="spellStart"/>
      <w:r w:rsidRPr="009B2994">
        <w:rPr>
          <w:i/>
          <w:lang w:val="en-US"/>
        </w:rPr>
        <w:t>Asmâa</w:t>
      </w:r>
      <w:proofErr w:type="spellEnd"/>
      <w:r w:rsidRPr="009B2994">
        <w:rPr>
          <w:i/>
          <w:lang w:val="en-US"/>
        </w:rPr>
        <w:t xml:space="preserve"> </w:t>
      </w:r>
      <w:proofErr w:type="spellStart"/>
      <w:r w:rsidRPr="009B2994">
        <w:rPr>
          <w:i/>
          <w:lang w:val="en-US"/>
        </w:rPr>
        <w:t>Resmouki</w:t>
      </w:r>
      <w:proofErr w:type="spellEnd"/>
      <w:r w:rsidRPr="009B2994">
        <w:rPr>
          <w:i/>
          <w:lang w:val="en-US"/>
        </w:rPr>
        <w:t>: This is more specific to a personality than to a culture, but I believe there is tremendous power in claiming your authenticity.  Each of us knows what makes us unique, although we sometimes struggle to show our authentic selves to others. I would encourage everyone, and especially women, to put yourself forward and to be proud of your true self. ―I am very proud to have been the first female partner in a Big Four firm in Morocco – but there were many more soon after me. I hope that my example encouraged other women to be themselves. I am sure that their example inspired many more women after them. This is the power of authenticity. ―I will add that I am also very proud of my work as audit partner training younger cohorts. I occasionally hear from those younger professionals about the positive difference I made in their lives as a role model and a mentor – and this really brings me joy.</w:t>
      </w:r>
      <w:r w:rsidRPr="009B2994">
        <w:rPr>
          <w:lang w:val="en-US"/>
        </w:rPr>
        <w:t>”</w:t>
      </w:r>
      <w:r w:rsidR="00462C48" w:rsidRPr="009B2994">
        <w:rPr>
          <w:lang w:val="en-US"/>
        </w:rPr>
        <w:t xml:space="preserve"> </w:t>
      </w:r>
      <w:r w:rsidR="00462C48">
        <w:t>Así l</w:t>
      </w:r>
      <w:r w:rsidR="009B2994">
        <w:t>a</w:t>
      </w:r>
      <w:r w:rsidR="00462C48">
        <w:t xml:space="preserve">s cosas, la actual presidente de IFAC nos invita a la autenticidad. Es decir, según el </w:t>
      </w:r>
      <w:hyperlink r:id="rId12" w:history="1">
        <w:r w:rsidR="00EF5BB8">
          <w:rPr>
            <w:rStyle w:val="Hipervnculo"/>
          </w:rPr>
          <w:t>DRAE</w:t>
        </w:r>
      </w:hyperlink>
      <w:r w:rsidR="00462C48">
        <w:t>, “</w:t>
      </w:r>
      <w:r w:rsidR="00462C48" w:rsidRPr="00462C48">
        <w:rPr>
          <w:i/>
        </w:rPr>
        <w:t>Consecuente consigo mismo, que se muestra tal y como es</w:t>
      </w:r>
      <w:r w:rsidR="00462C48">
        <w:t xml:space="preserve">”. Lo cierto es que los seres humanos aprendemos desde el hogar, luego en los colegios y universidades, a transformarnos como si fuéramos camaleones. Según el </w:t>
      </w:r>
      <w:hyperlink r:id="rId13" w:history="1">
        <w:r w:rsidR="00462C48" w:rsidRPr="00462C48">
          <w:rPr>
            <w:rStyle w:val="Hipervnculo"/>
          </w:rPr>
          <w:t>mismo diccionario</w:t>
        </w:r>
      </w:hyperlink>
      <w:r w:rsidR="00462C48">
        <w:t xml:space="preserve"> “</w:t>
      </w:r>
      <w:r w:rsidR="00462C48" w:rsidRPr="00462C48">
        <w:rPr>
          <w:i/>
        </w:rPr>
        <w:t>Persona que tiene habilidad para cambiar de actitud y conducta, adoptando en cada caso la más ventajosa</w:t>
      </w:r>
      <w:r w:rsidR="00462C48" w:rsidRPr="00462C48">
        <w:t>.</w:t>
      </w:r>
      <w:r w:rsidR="00462C48">
        <w:t xml:space="preserve">” El capitalismo requiere de esta habilidad, ciertamente </w:t>
      </w:r>
      <w:r w:rsidR="00462C48">
        <w:t>contraria a la autenticidad. Muchos contadores, convertidos en vendedores de sus propios servicios, han aprendido a ser camaleones, lo cual usan ante clientes, potenciales prospectos, autoridades administrativas y judiciales e, incluso, ante otros colegas.</w:t>
      </w:r>
      <w:r w:rsidR="00EF5BB8">
        <w:t xml:space="preserve"> El punto es que si lo son ya no pueden ser calificados como íntegros. Volviendo al </w:t>
      </w:r>
      <w:hyperlink r:id="rId14" w:history="1">
        <w:r w:rsidR="00EF5BB8" w:rsidRPr="009B2994">
          <w:rPr>
            <w:rStyle w:val="Hipervnculo"/>
          </w:rPr>
          <w:t>DRAE</w:t>
        </w:r>
      </w:hyperlink>
      <w:r w:rsidR="00EF5BB8">
        <w:t xml:space="preserve">: </w:t>
      </w:r>
      <w:r w:rsidR="00EF5BB8" w:rsidRPr="00EF5BB8">
        <w:t xml:space="preserve">Dicho de una persona: </w:t>
      </w:r>
      <w:r w:rsidR="00EF5BB8">
        <w:t>“</w:t>
      </w:r>
      <w:r w:rsidR="00EF5BB8" w:rsidRPr="00EF5BB8">
        <w:rPr>
          <w:i/>
        </w:rPr>
        <w:t>Recta, proba, intachable</w:t>
      </w:r>
      <w:r w:rsidR="00EF5BB8">
        <w:t>”</w:t>
      </w:r>
      <w:r w:rsidR="00EF5BB8" w:rsidRPr="00EF5BB8">
        <w:t>.</w:t>
      </w:r>
      <w:r w:rsidR="00EF5BB8">
        <w:t xml:space="preserve"> </w:t>
      </w:r>
      <w:r w:rsidR="006D63E2">
        <w:t>Hoy en día para muchos lo importante no es portarse bien sino no ser expuesto ni castigado.</w:t>
      </w:r>
      <w:r w:rsidR="000D21D3">
        <w:t xml:space="preserve"> Por lo mismo aman la oscuridad. Su proceder opaco los hace muy poco idóneos para enseñar la ética de la que tanto hablan.</w:t>
      </w:r>
      <w:r w:rsidR="009B2994">
        <w:t xml:space="preserve"> Tratándose de los contadores (afirmación que no incluye ni excluye otras profesiones) la ética no es paralela a la disciplina. Ella forma parte de esta, de ella se desprenden las reglas de comportamiento que se llaman personales y sin ella no hay esperanza de que se pueda cumplir con el objetivo o función social que le corresponde. Por lo tanto, debe existir siempre en toda actividad formativa, de pregrado o posgrado, de educación continua o de educación para el trabajo, un lineamiento ético que refuerce el deber de decir la verdad, valor central de la contaduría, sin el cual es inconcebible.</w:t>
      </w:r>
      <w:r w:rsidR="00341225">
        <w:t xml:space="preserve"> Hay médicos que creen que administran la vida, abogados que piensan que administran justicia y contadores que resuelven cuando debe decirse la verdad. Todos ellos no merecen el título de profesionales, ni es admisible pensar en ciencias que no incluy</w:t>
      </w:r>
      <w:r w:rsidR="00085C00">
        <w:t>a</w:t>
      </w:r>
      <w:r w:rsidR="00341225">
        <w:t xml:space="preserve">n la ética. </w:t>
      </w:r>
      <w:r w:rsidR="00085C00">
        <w:t xml:space="preserve">En </w:t>
      </w:r>
      <w:hyperlink r:id="rId15" w:history="1">
        <w:r w:rsidR="00085C00" w:rsidRPr="00085C00">
          <w:rPr>
            <w:rStyle w:val="Hipervnculo"/>
            <w:i/>
            <w:iCs/>
          </w:rPr>
          <w:t>Fides et Ratio</w:t>
        </w:r>
      </w:hyperlink>
      <w:r w:rsidR="00085C00">
        <w:t xml:space="preserve"> se sostiene: “</w:t>
      </w:r>
      <w:r w:rsidR="00085C00" w:rsidRPr="00777A74">
        <w:rPr>
          <w:i/>
          <w:iCs/>
        </w:rPr>
        <w:t>En el ámbito de la investigación científica se ha ido imponiendo una mentalidad positivista</w:t>
      </w:r>
      <w:r w:rsidR="00085C00">
        <w:t xml:space="preserve"> (…)”</w:t>
      </w:r>
    </w:p>
    <w:p w14:paraId="70500690" w14:textId="2D44662D" w:rsidR="00F4243E" w:rsidRPr="0053210A" w:rsidRDefault="00085C00" w:rsidP="00085C00">
      <w:pPr>
        <w:jc w:val="right"/>
      </w:pPr>
      <w:r w:rsidRPr="003C4ED4">
        <w:rPr>
          <w:i/>
          <w:iCs/>
        </w:rPr>
        <w:t>Hernando Bermúdez Gómez</w:t>
      </w:r>
    </w:p>
    <w:sectPr w:rsidR="00F4243E" w:rsidRPr="0053210A" w:rsidSect="0058613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E5C7" w14:textId="77777777" w:rsidR="003A655F" w:rsidRDefault="003A655F" w:rsidP="00EE7812">
      <w:pPr>
        <w:spacing w:after="0" w:line="240" w:lineRule="auto"/>
      </w:pPr>
      <w:r>
        <w:separator/>
      </w:r>
    </w:p>
  </w:endnote>
  <w:endnote w:type="continuationSeparator" w:id="0">
    <w:p w14:paraId="4189D6C8" w14:textId="77777777" w:rsidR="003A655F" w:rsidRDefault="003A655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A02F" w14:textId="77777777" w:rsidR="003A655F" w:rsidRDefault="003A655F" w:rsidP="00EE7812">
      <w:pPr>
        <w:spacing w:after="0" w:line="240" w:lineRule="auto"/>
      </w:pPr>
      <w:r>
        <w:separator/>
      </w:r>
    </w:p>
  </w:footnote>
  <w:footnote w:type="continuationSeparator" w:id="0">
    <w:p w14:paraId="467B3FDD" w14:textId="77777777" w:rsidR="003A655F" w:rsidRDefault="003A655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7E1EA0C6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D56693">
      <w:t>2</w:t>
    </w:r>
    <w:r w:rsidR="007D3518">
      <w:t>2</w:t>
    </w:r>
    <w:r>
      <w:t>,</w:t>
    </w:r>
    <w:r w:rsidR="001E23A5">
      <w:t xml:space="preserve"> </w:t>
    </w:r>
    <w:r w:rsidR="008F7676">
      <w:t>12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32043">
    <w:abstractNumId w:val="0"/>
  </w:num>
  <w:num w:numId="2" w16cid:durableId="249507440">
    <w:abstractNumId w:val="21"/>
  </w:num>
  <w:num w:numId="3" w16cid:durableId="880627441">
    <w:abstractNumId w:val="15"/>
  </w:num>
  <w:num w:numId="4" w16cid:durableId="223613733">
    <w:abstractNumId w:val="2"/>
  </w:num>
  <w:num w:numId="5" w16cid:durableId="839544579">
    <w:abstractNumId w:val="20"/>
  </w:num>
  <w:num w:numId="6" w16cid:durableId="1259215267">
    <w:abstractNumId w:val="35"/>
  </w:num>
  <w:num w:numId="7" w16cid:durableId="197477299">
    <w:abstractNumId w:val="13"/>
  </w:num>
  <w:num w:numId="8" w16cid:durableId="148593176">
    <w:abstractNumId w:val="33"/>
  </w:num>
  <w:num w:numId="9" w16cid:durableId="980883248">
    <w:abstractNumId w:val="38"/>
  </w:num>
  <w:num w:numId="10" w16cid:durableId="1016928393">
    <w:abstractNumId w:val="4"/>
  </w:num>
  <w:num w:numId="11" w16cid:durableId="1911841731">
    <w:abstractNumId w:val="6"/>
  </w:num>
  <w:num w:numId="12" w16cid:durableId="977150469">
    <w:abstractNumId w:val="19"/>
  </w:num>
  <w:num w:numId="13" w16cid:durableId="82384628">
    <w:abstractNumId w:val="22"/>
  </w:num>
  <w:num w:numId="14" w16cid:durableId="2125416082">
    <w:abstractNumId w:val="32"/>
  </w:num>
  <w:num w:numId="15" w16cid:durableId="1664309607">
    <w:abstractNumId w:val="9"/>
  </w:num>
  <w:num w:numId="16" w16cid:durableId="305858950">
    <w:abstractNumId w:val="7"/>
  </w:num>
  <w:num w:numId="17" w16cid:durableId="1450127970">
    <w:abstractNumId w:val="17"/>
  </w:num>
  <w:num w:numId="18" w16cid:durableId="1605191683">
    <w:abstractNumId w:val="31"/>
  </w:num>
  <w:num w:numId="19" w16cid:durableId="2061245385">
    <w:abstractNumId w:val="26"/>
  </w:num>
  <w:num w:numId="20" w16cid:durableId="856239472">
    <w:abstractNumId w:val="8"/>
  </w:num>
  <w:num w:numId="21" w16cid:durableId="2089495547">
    <w:abstractNumId w:val="27"/>
  </w:num>
  <w:num w:numId="22" w16cid:durableId="868958067">
    <w:abstractNumId w:val="28"/>
  </w:num>
  <w:num w:numId="23" w16cid:durableId="655763486">
    <w:abstractNumId w:val="29"/>
  </w:num>
  <w:num w:numId="24" w16cid:durableId="616564757">
    <w:abstractNumId w:val="34"/>
  </w:num>
  <w:num w:numId="25" w16cid:durableId="1822573489">
    <w:abstractNumId w:val="23"/>
  </w:num>
  <w:num w:numId="26" w16cid:durableId="1219897880">
    <w:abstractNumId w:val="14"/>
  </w:num>
  <w:num w:numId="27" w16cid:durableId="1454976638">
    <w:abstractNumId w:val="5"/>
  </w:num>
  <w:num w:numId="28" w16cid:durableId="277762231">
    <w:abstractNumId w:val="24"/>
  </w:num>
  <w:num w:numId="29" w16cid:durableId="1055350498">
    <w:abstractNumId w:val="1"/>
  </w:num>
  <w:num w:numId="30" w16cid:durableId="883325495">
    <w:abstractNumId w:val="25"/>
  </w:num>
  <w:num w:numId="31" w16cid:durableId="1759867738">
    <w:abstractNumId w:val="30"/>
  </w:num>
  <w:num w:numId="32" w16cid:durableId="1167020245">
    <w:abstractNumId w:val="12"/>
  </w:num>
  <w:num w:numId="33" w16cid:durableId="369064519">
    <w:abstractNumId w:val="18"/>
  </w:num>
  <w:num w:numId="34" w16cid:durableId="1619603110">
    <w:abstractNumId w:val="3"/>
  </w:num>
  <w:num w:numId="35" w16cid:durableId="1299997797">
    <w:abstractNumId w:val="36"/>
  </w:num>
  <w:num w:numId="36" w16cid:durableId="504201000">
    <w:abstractNumId w:val="10"/>
  </w:num>
  <w:num w:numId="37" w16cid:durableId="2083943467">
    <w:abstractNumId w:val="11"/>
  </w:num>
  <w:num w:numId="38" w16cid:durableId="1506358485">
    <w:abstractNumId w:val="37"/>
  </w:num>
  <w:num w:numId="39" w16cid:durableId="134840429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BA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89"/>
    <w:rsid w:val="000C4EBE"/>
    <w:rsid w:val="000C4EDD"/>
    <w:rsid w:val="000C5038"/>
    <w:rsid w:val="000C503E"/>
    <w:rsid w:val="000C507C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55F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0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39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9D8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le.rae.es/camale%C3%B3n?m=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le.rae.es/aut%C3%A9nti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accountant.nridigital.com/ta_supplement_may23/the_power_of_authentic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atican.va/content/john-paul-ii/es/encyclicals/documents/hf_jp-ii_enc_14091998_fides-et-ratio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e.rae.es/%C3%ADntegro?m=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0119-E302-4E42-AA61-A5654B4F7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2023-06-09T20:25:00Z</dcterms:created>
  <dcterms:modified xsi:type="dcterms:W3CDTF">2023-06-09T20:25:00Z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