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CD9A0" w14:textId="32200D8F" w:rsidR="00002B8C" w:rsidRPr="00002B8C" w:rsidRDefault="00002B8C" w:rsidP="00002B8C">
      <w:pPr>
        <w:keepNext/>
        <w:framePr w:dropCap="drop" w:lines="3" w:wrap="around" w:vAnchor="text" w:hAnchor="text"/>
        <w:spacing w:after="0" w:line="926" w:lineRule="exact"/>
        <w:textAlignment w:val="baseline"/>
        <w:rPr>
          <w:position w:val="-9"/>
          <w:sz w:val="123"/>
        </w:rPr>
      </w:pPr>
      <w:r w:rsidRPr="00002B8C">
        <w:rPr>
          <w:position w:val="-9"/>
          <w:sz w:val="123"/>
        </w:rPr>
        <w:t>E</w:t>
      </w:r>
    </w:p>
    <w:p w14:paraId="3DD2A64C" w14:textId="01CBA253" w:rsidR="00002B8C" w:rsidRDefault="00002B8C" w:rsidP="00C257C9">
      <w:r>
        <w:t xml:space="preserve">l numeral 1º de la primera parte del artículo 7 del </w:t>
      </w:r>
      <w:hyperlink r:id="rId11" w:history="1">
        <w:r w:rsidRPr="00002B8C">
          <w:rPr>
            <w:rStyle w:val="Hipervnculo"/>
          </w:rPr>
          <w:t>anteproyecto</w:t>
        </w:r>
      </w:hyperlink>
      <w:r>
        <w:t xml:space="preserve"> difundido por el CTCP es de una textura muy abierta, como se sostuvo en números anteriores de Contrapartida. El artículo adopta la estrategia actual de distinguir cuándo es el cargo o el asunto el que hace necesario la presencia de un contador. El numeral 1 entra nuevamente a contradecir la existencia de tecnólogos en contabilidad. El segundo no explica cuándo les corresponde certificar información no financiera, así ella esté asociada con estados financieros. No entendemos como su competencia podría llegar a estas fronteras si se tratare del informe integral. En el mundo bursátil además de emisores hay intermediarios y prestadores de servicios propios de él. Por su implicancia en el interés público pensamos que todos deberían tener contadores. La expresión del numeral 4 “que se consideren necesarios” es indefinida y daría para muchas controversias. Las cosas han cambiado mucho desde que se originaron estas normas. Hoy, además, tenemos una gran expectativa sobre las posibilidades de las SAS. Nos parece que el artículo 5, ya cuestionado constitucionalmente, se adentra en un conflicto contra otras disciplinas, como las de economistas y financieros.</w:t>
      </w:r>
      <w:r w:rsidR="00CC7CF2">
        <w:t xml:space="preserve"> Si hay que dictaminar los estados financieros, ¿cuál es el sentido del numeral 6? El numeral 7 revuelve servicios de aseguramiento con servicios relacionados. No en todo caso estos últimos requieren de un contador. Si la información no es contable ¿por qué certificar totalmente las rendiciones de cuentas? Finalmente ¿cuáles son los documentos de carácter contable? ¡los soportes? No entendemos por qué se quiere </w:t>
      </w:r>
      <w:r w:rsidR="00CC7CF2">
        <w:t xml:space="preserve">cambiar la palabra encargado, usada por mucho tiempo a nivel mundial, por la de delegado. ¿Qué se delega? ¿Cuáles son las consecuencias de la delegación en materia de competencias y responsabilidad? ¿Pierden los clientes? El parágrafo 2 del artículo 7 es una copia de la norma actual salvo en cuanto establece que el corte que debe tenerse en cuenta es el de enero de cada año, el cual es intermedio, interino y quien sabe si igualmente justificante que un estado de fin de ejercicio debidamente certificado y dictaminado. Esta norma peca, como la actual, por referirse únicamente a las sociedades, cuando hay muchas otras clases de personas jurídicas. También se equivoca al mantener el criterio de tamaño ya reemplazado por el de complejidad y es inexplicable que siga en el volumen de los activos o ingresos en lugar de pensar en el interés público que para la comunidad tengan las entidades. </w:t>
      </w:r>
      <w:r w:rsidR="00192FBD">
        <w:t>El parágrafo final reproduce una regla que hoy existe en materia de las sucursales de sociedades extranjeras, por virtud de la cual hay colombianos presos en decisiones que toman o no extranjeros. No vemos aquí ninguna propuesta de solución. Hoy en día hay activos que pueden tener igual o mayor significación que los recursos naturales.</w:t>
      </w:r>
      <w:r w:rsidR="0065061E">
        <w:t xml:space="preserve"> Este artículo no da cuenta de ninguno de los desarrollos planteados por el </w:t>
      </w:r>
      <w:r w:rsidR="0065061E" w:rsidRPr="0065061E">
        <w:t xml:space="preserve">Professional Accountancy </w:t>
      </w:r>
      <w:proofErr w:type="spellStart"/>
      <w:r w:rsidR="0065061E" w:rsidRPr="0065061E">
        <w:t>Organization</w:t>
      </w:r>
      <w:proofErr w:type="spellEnd"/>
      <w:r w:rsidR="0065061E" w:rsidRPr="0065061E">
        <w:t xml:space="preserve"> </w:t>
      </w:r>
      <w:proofErr w:type="spellStart"/>
      <w:r w:rsidR="0065061E" w:rsidRPr="0065061E">
        <w:t>Development</w:t>
      </w:r>
      <w:proofErr w:type="spellEnd"/>
      <w:r w:rsidR="0065061E" w:rsidRPr="0065061E">
        <w:t xml:space="preserve"> &amp; </w:t>
      </w:r>
      <w:proofErr w:type="spellStart"/>
      <w:r w:rsidR="0065061E" w:rsidRPr="0065061E">
        <w:t>Advisory</w:t>
      </w:r>
      <w:proofErr w:type="spellEnd"/>
      <w:r w:rsidR="0065061E" w:rsidRPr="0065061E">
        <w:t xml:space="preserve"> </w:t>
      </w:r>
      <w:proofErr w:type="spellStart"/>
      <w:r w:rsidR="0065061E" w:rsidRPr="0065061E">
        <w:t>Group</w:t>
      </w:r>
      <w:proofErr w:type="spellEnd"/>
      <w:r w:rsidR="0065061E">
        <w:t xml:space="preserve">, el </w:t>
      </w:r>
      <w:r w:rsidR="0065061E" w:rsidRPr="0065061E">
        <w:t xml:space="preserve">Professional </w:t>
      </w:r>
      <w:proofErr w:type="spellStart"/>
      <w:r w:rsidR="0065061E" w:rsidRPr="0065061E">
        <w:t>Accountants</w:t>
      </w:r>
      <w:proofErr w:type="spellEnd"/>
      <w:r w:rsidR="0065061E" w:rsidRPr="0065061E">
        <w:t xml:space="preserve"> in Business </w:t>
      </w:r>
      <w:proofErr w:type="spellStart"/>
      <w:r w:rsidR="0065061E" w:rsidRPr="0065061E">
        <w:t>Advisory</w:t>
      </w:r>
      <w:proofErr w:type="spellEnd"/>
      <w:r w:rsidR="0065061E" w:rsidRPr="0065061E">
        <w:t xml:space="preserve"> Group</w:t>
      </w:r>
      <w:r w:rsidR="0065061E">
        <w:t xml:space="preserve">, el </w:t>
      </w:r>
      <w:r w:rsidR="0065061E" w:rsidRPr="0065061E">
        <w:t xml:space="preserve">Small and Medium </w:t>
      </w:r>
      <w:proofErr w:type="spellStart"/>
      <w:r w:rsidR="0065061E" w:rsidRPr="0065061E">
        <w:t>Practices</w:t>
      </w:r>
      <w:proofErr w:type="spellEnd"/>
      <w:r w:rsidR="0065061E" w:rsidRPr="0065061E">
        <w:t xml:space="preserve"> </w:t>
      </w:r>
      <w:proofErr w:type="spellStart"/>
      <w:r w:rsidR="0065061E" w:rsidRPr="0065061E">
        <w:t>Advisory</w:t>
      </w:r>
      <w:proofErr w:type="spellEnd"/>
      <w:r w:rsidR="0065061E" w:rsidRPr="0065061E">
        <w:t xml:space="preserve"> </w:t>
      </w:r>
      <w:proofErr w:type="spellStart"/>
      <w:r w:rsidR="0065061E" w:rsidRPr="0065061E">
        <w:t>Group</w:t>
      </w:r>
      <w:proofErr w:type="spellEnd"/>
      <w:r w:rsidR="0065061E">
        <w:t xml:space="preserve"> y el </w:t>
      </w:r>
      <w:proofErr w:type="spellStart"/>
      <w:r w:rsidR="0065061E" w:rsidRPr="0065061E">
        <w:t>Transnational</w:t>
      </w:r>
      <w:proofErr w:type="spellEnd"/>
      <w:r w:rsidR="0065061E" w:rsidRPr="0065061E">
        <w:t xml:space="preserve"> </w:t>
      </w:r>
      <w:proofErr w:type="spellStart"/>
      <w:r w:rsidR="0065061E" w:rsidRPr="0065061E">
        <w:t>Auditors</w:t>
      </w:r>
      <w:proofErr w:type="spellEnd"/>
      <w:r w:rsidR="0065061E" w:rsidRPr="0065061E">
        <w:t xml:space="preserve"> </w:t>
      </w:r>
      <w:proofErr w:type="spellStart"/>
      <w:r w:rsidR="0065061E" w:rsidRPr="0065061E">
        <w:t>Committee</w:t>
      </w:r>
      <w:proofErr w:type="spellEnd"/>
      <w:r w:rsidR="0065061E">
        <w:t>, apoyado por el Foro de Firmas.</w:t>
      </w:r>
    </w:p>
    <w:p w14:paraId="7C1EE86C" w14:textId="2CA2993A" w:rsidR="0065061E" w:rsidRPr="00C257C9" w:rsidRDefault="0065061E" w:rsidP="0065061E">
      <w:pPr>
        <w:jc w:val="right"/>
      </w:pPr>
      <w:r w:rsidRPr="00844BFA">
        <w:rPr>
          <w:i/>
        </w:rPr>
        <w:t>Hernando Bermúdez Gómez</w:t>
      </w:r>
    </w:p>
    <w:sectPr w:rsidR="0065061E" w:rsidRPr="00C257C9"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77D12" w14:textId="77777777" w:rsidR="00861D7E" w:rsidRDefault="00861D7E" w:rsidP="00EE7812">
      <w:pPr>
        <w:spacing w:after="0" w:line="240" w:lineRule="auto"/>
      </w:pPr>
      <w:r>
        <w:separator/>
      </w:r>
    </w:p>
  </w:endnote>
  <w:endnote w:type="continuationSeparator" w:id="0">
    <w:p w14:paraId="1F66A188" w14:textId="77777777" w:rsidR="00861D7E" w:rsidRDefault="00861D7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4023C" w14:textId="77777777" w:rsidR="00861D7E" w:rsidRDefault="00861D7E" w:rsidP="00EE7812">
      <w:pPr>
        <w:spacing w:after="0" w:line="240" w:lineRule="auto"/>
      </w:pPr>
      <w:r>
        <w:separator/>
      </w:r>
    </w:p>
  </w:footnote>
  <w:footnote w:type="continuationSeparator" w:id="0">
    <w:p w14:paraId="58420AFB" w14:textId="77777777" w:rsidR="00861D7E" w:rsidRDefault="00861D7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63C90B82"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393CB7">
      <w:t>4</w:t>
    </w:r>
    <w:r w:rsidR="00817CB8">
      <w:t>5</w:t>
    </w:r>
    <w:r w:rsidR="003E20E8">
      <w:t>3</w:t>
    </w:r>
    <w:r>
      <w:t>,</w:t>
    </w:r>
    <w:r w:rsidR="001E23A5">
      <w:t xml:space="preserve"> </w:t>
    </w:r>
    <w:r w:rsidR="00FA36A7">
      <w:t>26</w:t>
    </w:r>
    <w:r w:rsidR="001E23A5">
      <w:t xml:space="preserve"> </w:t>
    </w:r>
    <w:r w:rsidR="009365CF">
      <w:t>de</w:t>
    </w:r>
    <w:r w:rsidR="001E23A5">
      <w:t xml:space="preserve"> </w:t>
    </w:r>
    <w:r w:rsidR="000D7166">
      <w:t>junio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76855480">
    <w:abstractNumId w:val="0"/>
  </w:num>
  <w:num w:numId="2" w16cid:durableId="648829318">
    <w:abstractNumId w:val="21"/>
  </w:num>
  <w:num w:numId="3" w16cid:durableId="2076658447">
    <w:abstractNumId w:val="15"/>
  </w:num>
  <w:num w:numId="4" w16cid:durableId="874391377">
    <w:abstractNumId w:val="2"/>
  </w:num>
  <w:num w:numId="5" w16cid:durableId="628098143">
    <w:abstractNumId w:val="20"/>
  </w:num>
  <w:num w:numId="6" w16cid:durableId="1838837929">
    <w:abstractNumId w:val="35"/>
  </w:num>
  <w:num w:numId="7" w16cid:durableId="251622112">
    <w:abstractNumId w:val="13"/>
  </w:num>
  <w:num w:numId="8" w16cid:durableId="1369262896">
    <w:abstractNumId w:val="33"/>
  </w:num>
  <w:num w:numId="9" w16cid:durableId="644748872">
    <w:abstractNumId w:val="38"/>
  </w:num>
  <w:num w:numId="10" w16cid:durableId="1720981588">
    <w:abstractNumId w:val="4"/>
  </w:num>
  <w:num w:numId="11" w16cid:durableId="1023944704">
    <w:abstractNumId w:val="6"/>
  </w:num>
  <w:num w:numId="12" w16cid:durableId="606428440">
    <w:abstractNumId w:val="19"/>
  </w:num>
  <w:num w:numId="13" w16cid:durableId="2019261808">
    <w:abstractNumId w:val="22"/>
  </w:num>
  <w:num w:numId="14" w16cid:durableId="1492796243">
    <w:abstractNumId w:val="32"/>
  </w:num>
  <w:num w:numId="15" w16cid:durableId="328801017">
    <w:abstractNumId w:val="9"/>
  </w:num>
  <w:num w:numId="16" w16cid:durableId="749498359">
    <w:abstractNumId w:val="7"/>
  </w:num>
  <w:num w:numId="17" w16cid:durableId="896664882">
    <w:abstractNumId w:val="17"/>
  </w:num>
  <w:num w:numId="18" w16cid:durableId="1940721713">
    <w:abstractNumId w:val="31"/>
  </w:num>
  <w:num w:numId="19" w16cid:durableId="1409812876">
    <w:abstractNumId w:val="26"/>
  </w:num>
  <w:num w:numId="20" w16cid:durableId="1785490725">
    <w:abstractNumId w:val="8"/>
  </w:num>
  <w:num w:numId="21" w16cid:durableId="271785269">
    <w:abstractNumId w:val="27"/>
  </w:num>
  <w:num w:numId="22" w16cid:durableId="1955094114">
    <w:abstractNumId w:val="28"/>
  </w:num>
  <w:num w:numId="23" w16cid:durableId="89472027">
    <w:abstractNumId w:val="29"/>
  </w:num>
  <w:num w:numId="24" w16cid:durableId="391655429">
    <w:abstractNumId w:val="34"/>
  </w:num>
  <w:num w:numId="25" w16cid:durableId="1184244526">
    <w:abstractNumId w:val="23"/>
  </w:num>
  <w:num w:numId="26" w16cid:durableId="1062556737">
    <w:abstractNumId w:val="14"/>
  </w:num>
  <w:num w:numId="27" w16cid:durableId="335114686">
    <w:abstractNumId w:val="5"/>
  </w:num>
  <w:num w:numId="28" w16cid:durableId="1729912604">
    <w:abstractNumId w:val="24"/>
  </w:num>
  <w:num w:numId="29" w16cid:durableId="977997065">
    <w:abstractNumId w:val="1"/>
  </w:num>
  <w:num w:numId="30" w16cid:durableId="1449399082">
    <w:abstractNumId w:val="25"/>
  </w:num>
  <w:num w:numId="31" w16cid:durableId="263000639">
    <w:abstractNumId w:val="30"/>
  </w:num>
  <w:num w:numId="32" w16cid:durableId="1699039053">
    <w:abstractNumId w:val="12"/>
  </w:num>
  <w:num w:numId="33" w16cid:durableId="939331916">
    <w:abstractNumId w:val="18"/>
  </w:num>
  <w:num w:numId="34" w16cid:durableId="2026788491">
    <w:abstractNumId w:val="3"/>
  </w:num>
  <w:num w:numId="35" w16cid:durableId="1008142239">
    <w:abstractNumId w:val="36"/>
  </w:num>
  <w:num w:numId="36" w16cid:durableId="1615743481">
    <w:abstractNumId w:val="10"/>
  </w:num>
  <w:num w:numId="37" w16cid:durableId="1357386666">
    <w:abstractNumId w:val="11"/>
  </w:num>
  <w:num w:numId="38" w16cid:durableId="2010980209">
    <w:abstractNumId w:val="37"/>
  </w:num>
  <w:num w:numId="39" w16cid:durableId="1684625067">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textFit" w:percent="197"/>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BA"/>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61F"/>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CB2"/>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A6"/>
    <w:rsid w:val="002364B8"/>
    <w:rsid w:val="002364C3"/>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7A1"/>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7"/>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29"/>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7E"/>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1B"/>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7"/>
    <w:rsid w:val="0098590D"/>
    <w:rsid w:val="0098594F"/>
    <w:rsid w:val="00985A0D"/>
    <w:rsid w:val="00985A1E"/>
    <w:rsid w:val="00985A79"/>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BCD"/>
    <w:rsid w:val="00992D8E"/>
    <w:rsid w:val="00992DB8"/>
    <w:rsid w:val="00992E86"/>
    <w:rsid w:val="00992F05"/>
    <w:rsid w:val="00992FA2"/>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40"/>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21"/>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39"/>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A4"/>
    <w:rsid w:val="00CF0C23"/>
    <w:rsid w:val="00CF0CBA"/>
    <w:rsid w:val="00CF0D43"/>
    <w:rsid w:val="00CF0D9F"/>
    <w:rsid w:val="00CF0DB1"/>
    <w:rsid w:val="00CF0EC5"/>
    <w:rsid w:val="00CF0FB6"/>
    <w:rsid w:val="00CF1014"/>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E5"/>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80"/>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tcp.gov.co/proyectos/contabilidad-e-informacion-financiera/documentos-organismos-internacionales/proyecto-de-ley-por-el-cual-se-regula-el-ejercicio/proyecto-de-ley-por-el-cual-se-regula-el-ejercicio"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CEC6956-0270-4D23-97A9-CB49C5213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530</Words>
  <Characters>2915</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3439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2023-06-24T21:35:00Z</dcterms:created>
  <dcterms:modified xsi:type="dcterms:W3CDTF">2023-06-24T21:35:00Z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