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D1EA" w14:textId="1AE6D80F" w:rsidR="00E13E7B" w:rsidRPr="00E13E7B" w:rsidRDefault="00E13E7B" w:rsidP="00E13E7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E13E7B">
        <w:rPr>
          <w:position w:val="-8"/>
          <w:sz w:val="122"/>
        </w:rPr>
        <w:t>A</w:t>
      </w:r>
    </w:p>
    <w:p w14:paraId="79CAB6B6" w14:textId="3BF57411" w:rsidR="005F741D" w:rsidRDefault="00E13E7B" w:rsidP="00E13E7B">
      <w:r>
        <w:t xml:space="preserve"> renglón seguido el </w:t>
      </w:r>
      <w:hyperlink r:id="rId11" w:history="1">
        <w:r w:rsidRPr="00D43276">
          <w:rPr>
            <w:rStyle w:val="Hipervnculo"/>
          </w:rPr>
          <w:t>anteproyecto</w:t>
        </w:r>
      </w:hyperlink>
      <w:r>
        <w:t xml:space="preserve"> del CTCP se ocupa de la responsabilidad. Existe una notoria similitud con la norma vigente. En ninguna de las dos redacciones se explica que se entiende por responsabilidad.</w:t>
      </w:r>
      <w:r w:rsidR="00E91445">
        <w:t xml:space="preserve"> Todas las normas sociales, como las éticas y las jurídicas, suponen que el sujeto es y será responsable, </w:t>
      </w:r>
      <w:hyperlink r:id="rId12" w:history="1">
        <w:r w:rsidR="00E91445" w:rsidRPr="00D43276">
          <w:rPr>
            <w:rStyle w:val="Hipervnculo"/>
          </w:rPr>
          <w:t>es decir</w:t>
        </w:r>
      </w:hyperlink>
      <w:r w:rsidR="00E91445">
        <w:t>, será una “</w:t>
      </w:r>
      <w:r w:rsidR="00E91445" w:rsidRPr="00E91445">
        <w:rPr>
          <w:i/>
          <w:iCs/>
        </w:rPr>
        <w:t>Persona obligada a reparar el daño causado por sus acciones u omisiones o por razón de un delito</w:t>
      </w:r>
      <w:r w:rsidR="00E91445" w:rsidRPr="00E91445">
        <w:t>.</w:t>
      </w:r>
      <w:r w:rsidR="00E91445">
        <w:t xml:space="preserve">” Sin </w:t>
      </w:r>
      <w:r w:rsidR="002A43DE">
        <w:t>este</w:t>
      </w:r>
      <w:r w:rsidR="00E91445">
        <w:t xml:space="preserve"> efecto o consecuencia los ordenamientos son inanes.</w:t>
      </w:r>
      <w:r w:rsidR="002A43DE">
        <w:t xml:space="preserve"> Aprendimos hace mucho tiempo, de Bobbio, que las normas deben ser lícitas, decir, adoptadas según la institucionalidad, justas y eficaces. Cuando no hay responsabilidad no hay eficacia. Por ello toda acción que desemboca en la falta de investigación, o de juicio, o de castigo, resulta contraria</w:t>
      </w:r>
      <w:r w:rsidR="00FE1661">
        <w:t xml:space="preserve"> a</w:t>
      </w:r>
      <w:r w:rsidR="002A43DE">
        <w:t xml:space="preserve"> la necesario. Bien sabemos que la justicia, desgraciadamente, es “</w:t>
      </w:r>
      <w:r w:rsidR="002A43DE" w:rsidRPr="00D43276">
        <w:rPr>
          <w:i/>
          <w:iCs/>
        </w:rPr>
        <w:t>para los de ruana</w:t>
      </w:r>
      <w:r w:rsidR="002A43DE">
        <w:t>”. Es decir, protege a unos y ataca a otros. De esto no ha podido apartarse la contaduría colombiana.</w:t>
      </w:r>
      <w:r w:rsidR="00806570">
        <w:t xml:space="preserve"> Luego </w:t>
      </w:r>
      <w:r w:rsidR="00FE1661">
        <w:t>el anteproyecto</w:t>
      </w:r>
      <w:r w:rsidR="00806570">
        <w:t xml:space="preserve"> trata la confidencialidad, equivalente al secreto profesional o la conocida reserva profesional, que son extensiones de la intimidad, de los secretos y reservas que corresponden a las personas. Hay que tener en cuenta que el alcance del secreto ha variado considerablemente durante los siglos XIX, XX y XXI. Hoy en día nunca sirve para cubrir a los infractores. Las más grandes expresiones de la reserva han caído. Hoy la información tiene un puesto equivalente. Por esto nos oponemos a las visiones extremas del </w:t>
      </w:r>
      <w:r w:rsidR="00933CFA">
        <w:t>h</w:t>
      </w:r>
      <w:r w:rsidR="00806570">
        <w:t>abeas data y en especial de los llamados datos sensibles.</w:t>
      </w:r>
      <w:r w:rsidR="00223E35">
        <w:t xml:space="preserve"> Entre otras cosas porque algunos ya han enarbolado esas incorrectas teorías contra todos los mecanismos de información </w:t>
      </w:r>
      <w:r w:rsidR="00223E35">
        <w:t>y revelación del derecho contable.</w:t>
      </w:r>
      <w:r w:rsidR="00FE1661">
        <w:t xml:space="preserve"> Es muy preocupante la frase final de este tema, conforme a la cual se trata de una “</w:t>
      </w:r>
      <w:r w:rsidR="00FE1661" w:rsidRPr="00FE1661">
        <w:rPr>
          <w:i/>
          <w:iCs/>
        </w:rPr>
        <w:t>Obligación que va más allá de las obligaciones laborales o profesionales previamente acordadas con el cliente</w:t>
      </w:r>
      <w:r w:rsidR="00FE1661" w:rsidRPr="00FE1661">
        <w:t>.</w:t>
      </w:r>
      <w:r w:rsidR="00FE1661">
        <w:t xml:space="preserve">” Conocemos muchas estipulaciones contractuales que pretenden que los clientes no puedan oponer secreto a las informaciones que el derecho contable exige respecto de la información contable y las revelaciones de los aseguradores. También sabemos que todo intento de conservar en secreto ciertos hechos, dificultando el acceso del profesional contable, es una medida que lleva a dudar de la moral del cliente y que pone al asegurador en la ruta de la renuncia. Muchos creen que para estar sobre seguro hay que actuar bajo confidencia. Esto generalmente induce a conversaciones que tratan de no documentar. Gracias a Dios éste nos advirtió que todo lo que está en secreto será revelado. Esta doble moral, la que se pronuncia y la que se escribe, acompaña a muchos profesionales que dicen estar muy tranquilos porque le contaron al cliente y porque no hay nada que hayan firmado que para ellos </w:t>
      </w:r>
      <w:r w:rsidR="004257E3">
        <w:t>que los comprometa.</w:t>
      </w:r>
      <w:r w:rsidR="00933CFA">
        <w:t xml:space="preserve"> Entendemos que el Gobierno y el o los gremios, sin son íntegros, deberían salir a defender, a apoyar, a los contadores que expongan el pellejo. Con mayor razón si se les ha perseguido y perjudicado. Pero aún estas defensas o apoyos se tratan de hacer en lo oculto. El anteproyecto no ayuda a resolver los conflictos entre la lealtad y la información que ordinariamente atormentan a varios profesionales.</w:t>
      </w:r>
    </w:p>
    <w:p w14:paraId="0F1A0DA5" w14:textId="22EB9B0B" w:rsidR="00933CFA" w:rsidRPr="00E13E7B" w:rsidRDefault="00933CFA" w:rsidP="00933CFA">
      <w:pPr>
        <w:jc w:val="right"/>
      </w:pPr>
      <w:r w:rsidRPr="003C4ED4">
        <w:rPr>
          <w:i/>
          <w:iCs/>
        </w:rPr>
        <w:t>Hernando Bermúdez Gómez</w:t>
      </w:r>
    </w:p>
    <w:sectPr w:rsidR="00933CFA" w:rsidRPr="00E13E7B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461" w14:textId="77777777" w:rsidR="00E33E24" w:rsidRDefault="00E33E24" w:rsidP="00EE7812">
      <w:pPr>
        <w:spacing w:after="0" w:line="240" w:lineRule="auto"/>
      </w:pPr>
      <w:r>
        <w:separator/>
      </w:r>
    </w:p>
  </w:endnote>
  <w:endnote w:type="continuationSeparator" w:id="0">
    <w:p w14:paraId="4106EDA4" w14:textId="77777777" w:rsidR="00E33E24" w:rsidRDefault="00E33E2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76C7" w14:textId="77777777" w:rsidR="00E33E24" w:rsidRDefault="00E33E24" w:rsidP="00EE7812">
      <w:pPr>
        <w:spacing w:after="0" w:line="240" w:lineRule="auto"/>
      </w:pPr>
      <w:r>
        <w:separator/>
      </w:r>
    </w:p>
  </w:footnote>
  <w:footnote w:type="continuationSeparator" w:id="0">
    <w:p w14:paraId="2DCFFC73" w14:textId="77777777" w:rsidR="00E33E24" w:rsidRDefault="00E33E2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2F6295B2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817CB8">
      <w:t>5</w:t>
    </w:r>
    <w:r w:rsidR="00793B64">
      <w:t>8</w:t>
    </w:r>
    <w:r>
      <w:t>,</w:t>
    </w:r>
    <w:r w:rsidR="001E23A5">
      <w:t xml:space="preserve"> </w:t>
    </w:r>
    <w:r w:rsidR="00FA36A7">
      <w:t>26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4753">
    <w:abstractNumId w:val="0"/>
  </w:num>
  <w:num w:numId="2" w16cid:durableId="1871527938">
    <w:abstractNumId w:val="21"/>
  </w:num>
  <w:num w:numId="3" w16cid:durableId="2095857948">
    <w:abstractNumId w:val="15"/>
  </w:num>
  <w:num w:numId="4" w16cid:durableId="247665300">
    <w:abstractNumId w:val="2"/>
  </w:num>
  <w:num w:numId="5" w16cid:durableId="826097478">
    <w:abstractNumId w:val="20"/>
  </w:num>
  <w:num w:numId="6" w16cid:durableId="1411004745">
    <w:abstractNumId w:val="35"/>
  </w:num>
  <w:num w:numId="7" w16cid:durableId="973297538">
    <w:abstractNumId w:val="13"/>
  </w:num>
  <w:num w:numId="8" w16cid:durableId="706178325">
    <w:abstractNumId w:val="33"/>
  </w:num>
  <w:num w:numId="9" w16cid:durableId="933175244">
    <w:abstractNumId w:val="38"/>
  </w:num>
  <w:num w:numId="10" w16cid:durableId="965937425">
    <w:abstractNumId w:val="4"/>
  </w:num>
  <w:num w:numId="11" w16cid:durableId="1732925116">
    <w:abstractNumId w:val="6"/>
  </w:num>
  <w:num w:numId="12" w16cid:durableId="772938935">
    <w:abstractNumId w:val="19"/>
  </w:num>
  <w:num w:numId="13" w16cid:durableId="1730617153">
    <w:abstractNumId w:val="22"/>
  </w:num>
  <w:num w:numId="14" w16cid:durableId="1824546266">
    <w:abstractNumId w:val="32"/>
  </w:num>
  <w:num w:numId="15" w16cid:durableId="80953465">
    <w:abstractNumId w:val="9"/>
  </w:num>
  <w:num w:numId="16" w16cid:durableId="1464493863">
    <w:abstractNumId w:val="7"/>
  </w:num>
  <w:num w:numId="17" w16cid:durableId="1072580759">
    <w:abstractNumId w:val="17"/>
  </w:num>
  <w:num w:numId="18" w16cid:durableId="70667705">
    <w:abstractNumId w:val="31"/>
  </w:num>
  <w:num w:numId="19" w16cid:durableId="2027553747">
    <w:abstractNumId w:val="26"/>
  </w:num>
  <w:num w:numId="20" w16cid:durableId="486283083">
    <w:abstractNumId w:val="8"/>
  </w:num>
  <w:num w:numId="21" w16cid:durableId="346836562">
    <w:abstractNumId w:val="27"/>
  </w:num>
  <w:num w:numId="22" w16cid:durableId="1253855153">
    <w:abstractNumId w:val="28"/>
  </w:num>
  <w:num w:numId="23" w16cid:durableId="323171438">
    <w:abstractNumId w:val="29"/>
  </w:num>
  <w:num w:numId="24" w16cid:durableId="840196815">
    <w:abstractNumId w:val="34"/>
  </w:num>
  <w:num w:numId="25" w16cid:durableId="392430628">
    <w:abstractNumId w:val="23"/>
  </w:num>
  <w:num w:numId="26" w16cid:durableId="152766178">
    <w:abstractNumId w:val="14"/>
  </w:num>
  <w:num w:numId="27" w16cid:durableId="433674579">
    <w:abstractNumId w:val="5"/>
  </w:num>
  <w:num w:numId="28" w16cid:durableId="1899199369">
    <w:abstractNumId w:val="24"/>
  </w:num>
  <w:num w:numId="29" w16cid:durableId="1280605576">
    <w:abstractNumId w:val="1"/>
  </w:num>
  <w:num w:numId="30" w16cid:durableId="24798912">
    <w:abstractNumId w:val="25"/>
  </w:num>
  <w:num w:numId="31" w16cid:durableId="431508370">
    <w:abstractNumId w:val="30"/>
  </w:num>
  <w:num w:numId="32" w16cid:durableId="173620061">
    <w:abstractNumId w:val="12"/>
  </w:num>
  <w:num w:numId="33" w16cid:durableId="296642910">
    <w:abstractNumId w:val="18"/>
  </w:num>
  <w:num w:numId="34" w16cid:durableId="1693267057">
    <w:abstractNumId w:val="3"/>
  </w:num>
  <w:num w:numId="35" w16cid:durableId="1756709365">
    <w:abstractNumId w:val="36"/>
  </w:num>
  <w:num w:numId="36" w16cid:durableId="2101019148">
    <w:abstractNumId w:val="10"/>
  </w:num>
  <w:num w:numId="37" w16cid:durableId="1730029739">
    <w:abstractNumId w:val="11"/>
  </w:num>
  <w:num w:numId="38" w16cid:durableId="955058429">
    <w:abstractNumId w:val="37"/>
  </w:num>
  <w:num w:numId="39" w16cid:durableId="4083241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97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BA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8D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2B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21"/>
    <w:rsid w:val="00A417A2"/>
    <w:rsid w:val="00A417BE"/>
    <w:rsid w:val="00A4180C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39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AD"/>
    <w:rsid w:val="00D82B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24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le.rae.es/respond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cp.gov.co/proyectos/contabilidad-e-informacion-financiera/documentos-organismos-internacionales/proyecto-de-ley-por-el-cual-se-regula-el-ejercicio/proyecto-de-ley-por-el-cual-se-regula-el-ejercic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E9ACE-09FF-48D5-B07F-A2561441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2023-06-24T21:49:00Z</dcterms:created>
  <dcterms:modified xsi:type="dcterms:W3CDTF">2023-06-24T21:49:00Z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