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DFE00" w14:textId="59C5663B" w:rsidR="007A0574" w:rsidRPr="007A0574" w:rsidRDefault="007A0574" w:rsidP="007A0574">
      <w:pPr>
        <w:keepNext/>
        <w:framePr w:dropCap="drop" w:lines="3" w:wrap="around" w:vAnchor="text" w:hAnchor="text"/>
        <w:spacing w:after="0" w:line="926" w:lineRule="exact"/>
        <w:textAlignment w:val="baseline"/>
        <w:rPr>
          <w:position w:val="-7"/>
          <w:sz w:val="120"/>
        </w:rPr>
      </w:pPr>
      <w:r w:rsidRPr="007A0574">
        <w:rPr>
          <w:position w:val="-7"/>
          <w:sz w:val="120"/>
        </w:rPr>
        <w:t>S</w:t>
      </w:r>
    </w:p>
    <w:p w14:paraId="60216E87" w14:textId="66C073D2" w:rsidR="002B0C0C" w:rsidRDefault="007A0574" w:rsidP="00B81C90">
      <w:r>
        <w:t xml:space="preserve">i nos hubiésemos apegado a las instrucciones de la </w:t>
      </w:r>
      <w:hyperlink r:id="rId11" w:history="1">
        <w:r w:rsidRPr="007A0574">
          <w:rPr>
            <w:rStyle w:val="Hipervnculo"/>
          </w:rPr>
          <w:t>Corte Constitucional</w:t>
        </w:r>
      </w:hyperlink>
      <w:r>
        <w:t xml:space="preserve"> nunca hubiera sido necesario la expedición de una reglamento de procedimiento para ser aplicado entonces por la Junta Central de Contadores y hoy por su Tribunal Disciplinario. Pero la mala formación de todos nos llevó a esa providencia, que ha sido cambiada varias veces, sin dejar de ser un dolor de cabeza. Realmente no hace falta una extensión tan grande como la que se presenta en el </w:t>
      </w:r>
      <w:hyperlink r:id="rId12" w:history="1">
        <w:r w:rsidRPr="007A0574">
          <w:rPr>
            <w:rStyle w:val="Hipervnculo"/>
          </w:rPr>
          <w:t>anteproyecto</w:t>
        </w:r>
      </w:hyperlink>
      <w:r>
        <w:t xml:space="preserve"> preparado por el Consejo Técnico de la Contaduría Pública. En la rama judicial las cosas se hacen tal manera que todos los magistrados tienen auxiliares que leen y les comentan los hechos y los proyectos de fallo que corresponden a los demás. En verdad no sabemos esto cómo se hace en el citado Tribunal; lo cierto es que en más de una ocasión nos queda la sensación que se falla ad – </w:t>
      </w:r>
      <w:r w:rsidR="00441799">
        <w:t>referéndum de la mayoría. En este orden de ideas nos parece innecesario el artículo 24 del anteproyecto. Mejor sería que se definieran por la aplicación del Código General del Proceso, como lo hace</w:t>
      </w:r>
      <w:r w:rsidR="0014107B">
        <w:t>, en aproximadamente 16 veces,</w:t>
      </w:r>
      <w:r w:rsidR="00441799">
        <w:t xml:space="preserve"> el propio Código de Procedimiento Administrativo y de lo Contencioso Administrativo.</w:t>
      </w:r>
      <w:r w:rsidR="0014107B">
        <w:t xml:space="preserve"> No vemos qué sentido tiene apartarse de esta posición. Luego de aludir a la primera y segunda instancia se resuelve hablar de las subsecciones y la sección. Se adopta el criterio de la mayoría simple para decidir, es decir, 2 de 3 o 4 de 6. Luego el anteproyecto pasa a referirse a lo que bautiza como Sala </w:t>
      </w:r>
      <w:r w:rsidR="007F14A3">
        <w:t xml:space="preserve">Disciplinaria de Inspección, Vigilancia y Control. Claro que es inspección, vigilancia o control. Se exigen 15 años de experiencia no calificada y la </w:t>
      </w:r>
      <w:r w:rsidR="007F14A3">
        <w:t xml:space="preserve">ausencia de sanciones disciplinarias. Esto nos parece un ultra efecto de los castigos que operaría más allá de la prescripción de las penas. Ahora habría 8 magistrados, 4 nombrados por el Gobierno y 4 particulares, es decir, un miembro más por los profesionales. Creemos que ninguno es realmente un representante. No pasan de ser designados o nombrados. Años atrás pensamos en que esta composición podría ser benéfica para la comunidad y para los contadores, pero no ha resultado así. Es preferible que todos sean elegidos por concurso. </w:t>
      </w:r>
      <w:r w:rsidR="00B81C90">
        <w:t xml:space="preserve">Se plantea que </w:t>
      </w:r>
      <w:hyperlink r:id="rId13" w:history="1">
        <w:r w:rsidR="00B81C90" w:rsidRPr="00B81C90">
          <w:rPr>
            <w:rStyle w:val="Hipervnculo"/>
          </w:rPr>
          <w:t>el salario sea el de un magistrado de Tribunal Superior</w:t>
        </w:r>
      </w:hyperlink>
      <w:r w:rsidR="00B81C90">
        <w:t>, es decir, “</w:t>
      </w:r>
      <w:r w:rsidR="00B81C90" w:rsidRPr="00B81C90">
        <w:rPr>
          <w:i/>
        </w:rPr>
        <w:t>Para los Magistrados de Tribunal y sus Fiscales Grado 21, tres millones quinientos noventa y ocho mil seiscientos ochenta y cuatro pesos ($3.598.684) moneda corriente, de asignación básica mensual. El cincuenta por ciento (50%) del salario mensual tendrá el carácter de gastos de representación, únicamente para efectos fiscales</w:t>
      </w:r>
      <w:r w:rsidR="00B81C90">
        <w:t xml:space="preserve">.”, que nos parece bajo. Además, se sigue pensando que los que sean funcionarios del Estado sigan percibiendo la remuneración que les corresponda, lo que significa continuar con los conflictos de intereses y con la falta de tiempo para atender dos funciones. A lo mejor nos callan porque toda la Rama está mal remunerada porque dizque no hay para más. Hoy en día </w:t>
      </w:r>
      <w:r w:rsidR="00635D1E">
        <w:t>el régimen disciplinario propio de los funcionarios públicos aplica a todos los vinculados a los órganos de la profesión. El anteproyecto al hablar de la sala pretende que se les aplique el régimen de los “</w:t>
      </w:r>
      <w:r w:rsidR="00635D1E" w:rsidRPr="00635D1E">
        <w:t>funcionarios de la rama jurisdiccional del poder público</w:t>
      </w:r>
      <w:r w:rsidR="00635D1E">
        <w:t>”</w:t>
      </w:r>
    </w:p>
    <w:p w14:paraId="00282485" w14:textId="2DBCFAB5" w:rsidR="00635D1E" w:rsidRPr="007A0574" w:rsidRDefault="00635D1E" w:rsidP="00635D1E">
      <w:pPr>
        <w:jc w:val="right"/>
      </w:pPr>
      <w:r w:rsidRPr="00844BFA">
        <w:rPr>
          <w:i/>
        </w:rPr>
        <w:t>Hernando Bermúdez Gómez</w:t>
      </w:r>
    </w:p>
    <w:sectPr w:rsidR="00635D1E" w:rsidRPr="007A0574" w:rsidSect="00586137">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7B7C8" w14:textId="77777777" w:rsidR="00A545E7" w:rsidRDefault="00A545E7" w:rsidP="00EE7812">
      <w:pPr>
        <w:spacing w:after="0" w:line="240" w:lineRule="auto"/>
      </w:pPr>
      <w:r>
        <w:separator/>
      </w:r>
    </w:p>
  </w:endnote>
  <w:endnote w:type="continuationSeparator" w:id="0">
    <w:p w14:paraId="131604A4" w14:textId="77777777" w:rsidR="00A545E7" w:rsidRDefault="00A545E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5A02E" w14:textId="77777777" w:rsidR="00A545E7" w:rsidRDefault="00A545E7" w:rsidP="00EE7812">
      <w:pPr>
        <w:spacing w:after="0" w:line="240" w:lineRule="auto"/>
      </w:pPr>
      <w:r>
        <w:separator/>
      </w:r>
    </w:p>
  </w:footnote>
  <w:footnote w:type="continuationSeparator" w:id="0">
    <w:p w14:paraId="54781421" w14:textId="77777777" w:rsidR="00A545E7" w:rsidRDefault="00A545E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64F2192E"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393CB7">
      <w:t>4</w:t>
    </w:r>
    <w:r w:rsidR="002D20E0">
      <w:t>6</w:t>
    </w:r>
    <w:r w:rsidR="00231AA5">
      <w:t>6</w:t>
    </w:r>
    <w:r>
      <w:t>,</w:t>
    </w:r>
    <w:r w:rsidR="001E23A5">
      <w:t xml:space="preserve"> </w:t>
    </w:r>
    <w:r w:rsidR="002D20E0">
      <w:t>3</w:t>
    </w:r>
    <w:r w:rsidR="001E23A5">
      <w:t xml:space="preserve"> </w:t>
    </w:r>
    <w:r w:rsidR="009365CF">
      <w:t>de</w:t>
    </w:r>
    <w:r w:rsidR="001E23A5">
      <w:t xml:space="preserve"> </w:t>
    </w:r>
    <w:r w:rsidR="000D7166">
      <w:t>ju</w:t>
    </w:r>
    <w:r w:rsidR="002D20E0">
      <w:t>l</w:t>
    </w:r>
    <w:r w:rsidR="000D7166">
      <w:t>io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77480558">
    <w:abstractNumId w:val="0"/>
  </w:num>
  <w:num w:numId="2" w16cid:durableId="1915431985">
    <w:abstractNumId w:val="21"/>
  </w:num>
  <w:num w:numId="3" w16cid:durableId="1351109065">
    <w:abstractNumId w:val="15"/>
  </w:num>
  <w:num w:numId="4" w16cid:durableId="119498418">
    <w:abstractNumId w:val="2"/>
  </w:num>
  <w:num w:numId="5" w16cid:durableId="20055461">
    <w:abstractNumId w:val="20"/>
  </w:num>
  <w:num w:numId="6" w16cid:durableId="2132359958">
    <w:abstractNumId w:val="35"/>
  </w:num>
  <w:num w:numId="7" w16cid:durableId="1338077912">
    <w:abstractNumId w:val="13"/>
  </w:num>
  <w:num w:numId="8" w16cid:durableId="1975256870">
    <w:abstractNumId w:val="33"/>
  </w:num>
  <w:num w:numId="9" w16cid:durableId="329404762">
    <w:abstractNumId w:val="38"/>
  </w:num>
  <w:num w:numId="10" w16cid:durableId="2103719809">
    <w:abstractNumId w:val="4"/>
  </w:num>
  <w:num w:numId="11" w16cid:durableId="1856529675">
    <w:abstractNumId w:val="6"/>
  </w:num>
  <w:num w:numId="12" w16cid:durableId="1965499269">
    <w:abstractNumId w:val="19"/>
  </w:num>
  <w:num w:numId="13" w16cid:durableId="1627351473">
    <w:abstractNumId w:val="22"/>
  </w:num>
  <w:num w:numId="14" w16cid:durableId="642081860">
    <w:abstractNumId w:val="32"/>
  </w:num>
  <w:num w:numId="15" w16cid:durableId="783110644">
    <w:abstractNumId w:val="9"/>
  </w:num>
  <w:num w:numId="16" w16cid:durableId="470026105">
    <w:abstractNumId w:val="7"/>
  </w:num>
  <w:num w:numId="17" w16cid:durableId="1343118770">
    <w:abstractNumId w:val="17"/>
  </w:num>
  <w:num w:numId="18" w16cid:durableId="1405566353">
    <w:abstractNumId w:val="31"/>
  </w:num>
  <w:num w:numId="19" w16cid:durableId="1179738040">
    <w:abstractNumId w:val="26"/>
  </w:num>
  <w:num w:numId="20" w16cid:durableId="1169833315">
    <w:abstractNumId w:val="8"/>
  </w:num>
  <w:num w:numId="21" w16cid:durableId="886717233">
    <w:abstractNumId w:val="27"/>
  </w:num>
  <w:num w:numId="22" w16cid:durableId="1670523036">
    <w:abstractNumId w:val="28"/>
  </w:num>
  <w:num w:numId="23" w16cid:durableId="1869560062">
    <w:abstractNumId w:val="29"/>
  </w:num>
  <w:num w:numId="24" w16cid:durableId="1399472781">
    <w:abstractNumId w:val="34"/>
  </w:num>
  <w:num w:numId="25" w16cid:durableId="1530994269">
    <w:abstractNumId w:val="23"/>
  </w:num>
  <w:num w:numId="26" w16cid:durableId="1670520174">
    <w:abstractNumId w:val="14"/>
  </w:num>
  <w:num w:numId="27" w16cid:durableId="780346539">
    <w:abstractNumId w:val="5"/>
  </w:num>
  <w:num w:numId="28" w16cid:durableId="1161042638">
    <w:abstractNumId w:val="24"/>
  </w:num>
  <w:num w:numId="29" w16cid:durableId="2033992063">
    <w:abstractNumId w:val="1"/>
  </w:num>
  <w:num w:numId="30" w16cid:durableId="176425245">
    <w:abstractNumId w:val="25"/>
  </w:num>
  <w:num w:numId="31" w16cid:durableId="842822474">
    <w:abstractNumId w:val="30"/>
  </w:num>
  <w:num w:numId="32" w16cid:durableId="1303340565">
    <w:abstractNumId w:val="12"/>
  </w:num>
  <w:num w:numId="33" w16cid:durableId="335809659">
    <w:abstractNumId w:val="18"/>
  </w:num>
  <w:num w:numId="34" w16cid:durableId="76707179">
    <w:abstractNumId w:val="3"/>
  </w:num>
  <w:num w:numId="35" w16cid:durableId="1355111404">
    <w:abstractNumId w:val="36"/>
  </w:num>
  <w:num w:numId="36" w16cid:durableId="173809042">
    <w:abstractNumId w:val="10"/>
  </w:num>
  <w:num w:numId="37" w16cid:durableId="1357847021">
    <w:abstractNumId w:val="11"/>
  </w:num>
  <w:num w:numId="38" w16cid:durableId="1095054414">
    <w:abstractNumId w:val="37"/>
  </w:num>
  <w:num w:numId="39" w16cid:durableId="1225801867">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61F"/>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CB2"/>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A6"/>
    <w:rsid w:val="002364B8"/>
    <w:rsid w:val="002364C3"/>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29"/>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52"/>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8A"/>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02"/>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BCD"/>
    <w:rsid w:val="00992D8E"/>
    <w:rsid w:val="00992DB8"/>
    <w:rsid w:val="00992E86"/>
    <w:rsid w:val="00992F05"/>
    <w:rsid w:val="00992FA2"/>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F1C"/>
    <w:rsid w:val="009B5F3F"/>
    <w:rsid w:val="009B5F9E"/>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40"/>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21"/>
    <w:rsid w:val="00A417A2"/>
    <w:rsid w:val="00A417BE"/>
    <w:rsid w:val="00A4180C"/>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5E7"/>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8C"/>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39"/>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CFC"/>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80"/>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idn.ramajudicial.gov.co/SIDN/NORMATIVA/TEXTOS_COMPLETOS/5_DECRETOS/DECRETOS%202022/Decreto%20470%20de%202022%20(Rama%20Judicial%20y%20de%20la%20Justicia%20Penal%20Militar).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tcp.gov.co/proyectos/contabilidad-e-informacion-financiera/documentos-organismos-internacionales/proyecto-de-ley-por-el-cual-se-regula-el-ejercicio/proyecto-de-ley-por-el-cual-se-regula-el-ejercicio"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javeriana.edu.co/personales/hbermude/jurisprudencia/C-530-00.rt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6A9FB57-D376-459E-9193-171963EC3C07}">
  <ds:schemaRefs>
    <ds:schemaRef ds:uri="http://schemas.openxmlformats.org/officeDocument/2006/bibliography"/>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5C4B40-FB5D-47A6-A208-43ABCB607B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576</Words>
  <Characters>3173</Characters>
  <Application>Microsoft Office Word</Application>
  <DocSecurity>0</DocSecurity>
  <Lines>26</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3742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2023-07-01T20:31:00Z</dcterms:created>
  <dcterms:modified xsi:type="dcterms:W3CDTF">2023-07-01T20:31:00Z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