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0F48" w14:textId="0328ED13" w:rsidR="00BC1547" w:rsidRPr="00BC1547" w:rsidRDefault="00BC1547" w:rsidP="00BC154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C1547">
        <w:rPr>
          <w:position w:val="-9"/>
          <w:sz w:val="123"/>
        </w:rPr>
        <w:t>E</w:t>
      </w:r>
    </w:p>
    <w:p w14:paraId="5DA5DCB9" w14:textId="35D4FCAB" w:rsidR="00D72BED" w:rsidRDefault="00BC1547" w:rsidP="00BC1547">
      <w:r>
        <w:t xml:space="preserve">n el </w:t>
      </w:r>
      <w:r w:rsidRPr="00BC1547">
        <w:rPr>
          <w:i/>
        </w:rPr>
        <w:t xml:space="preserve">IFRS S1 General </w:t>
      </w:r>
      <w:proofErr w:type="spellStart"/>
      <w:r w:rsidRPr="00BC1547">
        <w:rPr>
          <w:i/>
        </w:rPr>
        <w:t>Requirements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for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Disclosure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of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Sustainability-related</w:t>
      </w:r>
      <w:proofErr w:type="spellEnd"/>
      <w:r w:rsidRPr="00BC1547">
        <w:rPr>
          <w:i/>
        </w:rPr>
        <w:t xml:space="preserve"> Financial </w:t>
      </w:r>
      <w:proofErr w:type="spellStart"/>
      <w:r w:rsidRPr="00BC1547">
        <w:rPr>
          <w:i/>
        </w:rPr>
        <w:t>Information</w:t>
      </w:r>
      <w:proofErr w:type="spellEnd"/>
      <w:r w:rsidRPr="00BC1547">
        <w:t xml:space="preserve"> </w:t>
      </w:r>
      <w:r>
        <w:t>se lee: “</w:t>
      </w:r>
      <w:r w:rsidRPr="00BC1547">
        <w:rPr>
          <w:i/>
        </w:rPr>
        <w:t xml:space="preserve">8. </w:t>
      </w:r>
      <w:proofErr w:type="spellStart"/>
      <w:r w:rsidRPr="00BC1547">
        <w:rPr>
          <w:i/>
        </w:rPr>
        <w:t>An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entity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may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apply</w:t>
      </w:r>
      <w:proofErr w:type="spellEnd"/>
      <w:r w:rsidRPr="00BC1547">
        <w:rPr>
          <w:i/>
        </w:rPr>
        <w:t xml:space="preserve"> IFRS </w:t>
      </w:r>
      <w:proofErr w:type="spellStart"/>
      <w:r w:rsidRPr="00BC1547">
        <w:rPr>
          <w:i/>
        </w:rPr>
        <w:t>Sustainability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Disclosure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Standards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irrespective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of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whether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the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entity’s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related</w:t>
      </w:r>
      <w:proofErr w:type="spellEnd"/>
      <w:r w:rsidRPr="00BC1547">
        <w:rPr>
          <w:i/>
        </w:rPr>
        <w:t xml:space="preserve"> general </w:t>
      </w:r>
      <w:proofErr w:type="spellStart"/>
      <w:r w:rsidRPr="00BC1547">
        <w:rPr>
          <w:i/>
        </w:rPr>
        <w:t>purpose</w:t>
      </w:r>
      <w:proofErr w:type="spellEnd"/>
      <w:r w:rsidRPr="00BC1547">
        <w:rPr>
          <w:i/>
        </w:rPr>
        <w:t xml:space="preserve"> financial </w:t>
      </w:r>
      <w:proofErr w:type="spellStart"/>
      <w:r w:rsidRPr="00BC1547">
        <w:rPr>
          <w:i/>
        </w:rPr>
        <w:t>statements</w:t>
      </w:r>
      <w:proofErr w:type="spellEnd"/>
      <w:r w:rsidRPr="00BC1547">
        <w:rPr>
          <w:i/>
        </w:rPr>
        <w:t xml:space="preserve"> (</w:t>
      </w:r>
      <w:proofErr w:type="spellStart"/>
      <w:r w:rsidRPr="00BC1547">
        <w:rPr>
          <w:i/>
        </w:rPr>
        <w:t>referred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to</w:t>
      </w:r>
      <w:proofErr w:type="spellEnd"/>
      <w:r w:rsidRPr="00BC1547">
        <w:rPr>
          <w:i/>
        </w:rPr>
        <w:t xml:space="preserve"> as ‘financial </w:t>
      </w:r>
      <w:proofErr w:type="spellStart"/>
      <w:r w:rsidRPr="00BC1547">
        <w:rPr>
          <w:i/>
        </w:rPr>
        <w:t>statements</w:t>
      </w:r>
      <w:proofErr w:type="spellEnd"/>
      <w:r w:rsidRPr="00BC1547">
        <w:rPr>
          <w:i/>
        </w:rPr>
        <w:t xml:space="preserve">’) are </w:t>
      </w:r>
      <w:proofErr w:type="spellStart"/>
      <w:r w:rsidRPr="00BC1547">
        <w:rPr>
          <w:i/>
        </w:rPr>
        <w:t>prepared</w:t>
      </w:r>
      <w:proofErr w:type="spellEnd"/>
      <w:r w:rsidRPr="00BC1547">
        <w:rPr>
          <w:i/>
        </w:rPr>
        <w:t xml:space="preserve"> in </w:t>
      </w:r>
      <w:proofErr w:type="spellStart"/>
      <w:r w:rsidRPr="00BC1547">
        <w:rPr>
          <w:i/>
        </w:rPr>
        <w:t>accordance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with</w:t>
      </w:r>
      <w:proofErr w:type="spellEnd"/>
      <w:r w:rsidRPr="00BC1547">
        <w:rPr>
          <w:i/>
        </w:rPr>
        <w:t xml:space="preserve"> IFRS Accounting </w:t>
      </w:r>
      <w:proofErr w:type="spellStart"/>
      <w:r w:rsidRPr="00BC1547">
        <w:rPr>
          <w:i/>
        </w:rPr>
        <w:t>Standards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or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other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generally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accepted</w:t>
      </w:r>
      <w:proofErr w:type="spellEnd"/>
      <w:r w:rsidRPr="00BC1547">
        <w:rPr>
          <w:i/>
        </w:rPr>
        <w:t xml:space="preserve"> accounting </w:t>
      </w:r>
      <w:proofErr w:type="spellStart"/>
      <w:r w:rsidRPr="00BC1547">
        <w:rPr>
          <w:i/>
        </w:rPr>
        <w:t>principles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or</w:t>
      </w:r>
      <w:proofErr w:type="spellEnd"/>
      <w:r w:rsidRPr="00BC1547">
        <w:rPr>
          <w:i/>
        </w:rPr>
        <w:t xml:space="preserve"> </w:t>
      </w:r>
      <w:proofErr w:type="spellStart"/>
      <w:r w:rsidRPr="00BC1547">
        <w:rPr>
          <w:i/>
        </w:rPr>
        <w:t>practices</w:t>
      </w:r>
      <w:proofErr w:type="spellEnd"/>
      <w:r w:rsidRPr="00BC1547">
        <w:rPr>
          <w:i/>
        </w:rPr>
        <w:t xml:space="preserve"> (GAAP).</w:t>
      </w:r>
      <w:r>
        <w:t xml:space="preserve">” Merece especial reflexión la afirmación según la cual estos estándares se podrán aplicar </w:t>
      </w:r>
      <w:r w:rsidR="00852720">
        <w:t>cualquiera sea el marco GAAP que se utilice.</w:t>
      </w:r>
      <w:r w:rsidR="00645069">
        <w:t xml:space="preserve"> Para nosotros esto implicará especiales consideraciones en materia del llamado Grupo 3 y de tod</w:t>
      </w:r>
      <w:r w:rsidR="009D32FA">
        <w:t>o</w:t>
      </w:r>
      <w:r w:rsidR="00645069">
        <w:t>s los entes dedicados a industrias especializadas.</w:t>
      </w:r>
      <w:r w:rsidR="009D32FA">
        <w:t xml:space="preserve"> Llegamos a pensar que las actividades llamadas terciarias no tienen que ver con la sostenibilidad. Poco a poco es necesario descubrir la falsedad de esa imagen. </w:t>
      </w:r>
      <w:r w:rsidR="00A53A04">
        <w:t>La sola concentración de individuos en un lugar supone una gran carga ambiental.</w:t>
      </w:r>
      <w:r w:rsidR="009B5EBB">
        <w:t xml:space="preserve"> Quienes hoy tienen restricciones como consecuencia de la contaminación, producida por la actividad económica o por otras situaciones inaceptables como las bélicas, comprenden mejor lo que está pasando. Pero muchos de quienes botan basura en cualquier lugar sigue pensando que no están haciendo ningún daño.</w:t>
      </w:r>
      <w:r w:rsidR="00EC6D07">
        <w:t xml:space="preserve"> Nuevamente se advierte que la visión y el lenguaje tienen en la mira principalmente las entidades de negocios, por lo que los estándares necesitan adaptarse a otras formas empresariales. Una entidad creada para apoyar la beneficencia sigue siendo un actor contra la sostenibilidad, porque esto no depende de una estipulación estatutaria.</w:t>
      </w:r>
      <w:r w:rsidR="00F86DFE">
        <w:t xml:space="preserve"> De manera que todos debemos empezar por el ejemplo</w:t>
      </w:r>
      <w:r w:rsidR="00880208">
        <w:t xml:space="preserve">. De </w:t>
      </w:r>
      <w:r w:rsidR="00880208">
        <w:t>nada sirve borrar con la izquierda lo que se escriba con la derecha.</w:t>
      </w:r>
      <w:r w:rsidR="00CD01E4">
        <w:t xml:space="preserve"> Entre las muchas cosas que cobrarán fuerza se encuentran mediciones que no utilizarán la moneda sino otro tipo de criterios. La sostenibilidad posiblemente utilice otros referentes y sus propios índices. Un reto anexo a esta problemática será la desaparición del sistema de partida doble o, al menos, la desvinculación entre quiénes y cuando realizan los diferentes asientos. Entendimos esto en el escenario que plantea el REA.</w:t>
      </w:r>
      <w:r w:rsidR="00B82289">
        <w:t xml:space="preserve"> Más adelante el estándar </w:t>
      </w:r>
      <w:r w:rsidR="005A60B9">
        <w:t>enseña</w:t>
      </w:r>
      <w:r w:rsidR="00B82289">
        <w:t xml:space="preserve"> que las características básicas de este tipo de información son la pertinencia y la fidelidad representativa.</w:t>
      </w:r>
      <w:r w:rsidR="00963E3F">
        <w:t xml:space="preserve"> Habría que estudiar si podemos considerar sinónimos los términos relevante y pertinente. Son tan amplias las cosas a las que está referida la sostenibilidad que todo nos puede parecer </w:t>
      </w:r>
      <w:r w:rsidR="002B1188">
        <w:t xml:space="preserve">importante, cercano, hasta propio. Este nuevo escenario nos hará resucitar el concepto de lo externo y lo interno, lo que no podemos orientar o disponer y lo que sí. Aparecerán situaciones que serán o no dependiendo de las políticas y ejecutorias de otros, principalmente el Estado. Para nosotros los que nos decimos académicos una gran pregunta tiene que ver con las cosas que habrán de estudiarse, sin caer en limitarse a las reglas, que están lejos de ser instrumentos para la enseñanza científica. ¿Optarán las casas de estudio por seguir excluyendo o reduciendo temas? ¿Se seguirán alejando de las áreas propuestas por el IAESB? Este asunto </w:t>
      </w:r>
      <w:r w:rsidR="005A60B9">
        <w:t>¿</w:t>
      </w:r>
      <w:r w:rsidR="002B1188">
        <w:t>transformará la cultura contable o solo será una nueva fuente de ingresos?</w:t>
      </w:r>
      <w:r w:rsidR="005A60B9">
        <w:t xml:space="preserve"> Es evidente que algunos empezaron hace años y otros solo ahora.</w:t>
      </w:r>
    </w:p>
    <w:p w14:paraId="69E6F249" w14:textId="550827AD" w:rsidR="005A60B9" w:rsidRPr="00BC1547" w:rsidRDefault="005A60B9" w:rsidP="005A60B9">
      <w:pPr>
        <w:jc w:val="right"/>
      </w:pPr>
      <w:r w:rsidRPr="00844BFA">
        <w:rPr>
          <w:i/>
        </w:rPr>
        <w:t>Hernando Bermúdez Gómez</w:t>
      </w:r>
    </w:p>
    <w:sectPr w:rsidR="005A60B9" w:rsidRPr="00BC1547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EB7F" w14:textId="77777777" w:rsidR="008E3B10" w:rsidRDefault="008E3B10" w:rsidP="00EE7812">
      <w:pPr>
        <w:spacing w:after="0" w:line="240" w:lineRule="auto"/>
      </w:pPr>
      <w:r>
        <w:separator/>
      </w:r>
    </w:p>
  </w:endnote>
  <w:endnote w:type="continuationSeparator" w:id="0">
    <w:p w14:paraId="48CCE4A1" w14:textId="77777777" w:rsidR="008E3B10" w:rsidRDefault="008E3B1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BEA6" w14:textId="77777777" w:rsidR="008E3B10" w:rsidRDefault="008E3B10" w:rsidP="00EE7812">
      <w:pPr>
        <w:spacing w:after="0" w:line="240" w:lineRule="auto"/>
      </w:pPr>
      <w:r>
        <w:separator/>
      </w:r>
    </w:p>
  </w:footnote>
  <w:footnote w:type="continuationSeparator" w:id="0">
    <w:p w14:paraId="5B9CFFF9" w14:textId="77777777" w:rsidR="008E3B10" w:rsidRDefault="008E3B1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2B9C2628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</w:t>
    </w:r>
    <w:r w:rsidR="00EB6F01">
      <w:t>7</w:t>
    </w:r>
    <w:r w:rsidR="004B26C1">
      <w:t>1</w:t>
    </w:r>
    <w:r>
      <w:t>,</w:t>
    </w:r>
    <w:r w:rsidR="001E23A5">
      <w:t xml:space="preserve"> </w:t>
    </w:r>
    <w:r w:rsidR="002D20E0">
      <w:t>3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</w:t>
    </w:r>
    <w:r w:rsidR="002D20E0">
      <w:t>l</w:t>
    </w:r>
    <w:r w:rsidR="000D7166">
      <w:t>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756395">
    <w:abstractNumId w:val="0"/>
  </w:num>
  <w:num w:numId="2" w16cid:durableId="983696783">
    <w:abstractNumId w:val="21"/>
  </w:num>
  <w:num w:numId="3" w16cid:durableId="2044288146">
    <w:abstractNumId w:val="15"/>
  </w:num>
  <w:num w:numId="4" w16cid:durableId="1173372250">
    <w:abstractNumId w:val="2"/>
  </w:num>
  <w:num w:numId="5" w16cid:durableId="1921869494">
    <w:abstractNumId w:val="20"/>
  </w:num>
  <w:num w:numId="6" w16cid:durableId="336735493">
    <w:abstractNumId w:val="35"/>
  </w:num>
  <w:num w:numId="7" w16cid:durableId="2138066984">
    <w:abstractNumId w:val="13"/>
  </w:num>
  <w:num w:numId="8" w16cid:durableId="19479980">
    <w:abstractNumId w:val="33"/>
  </w:num>
  <w:num w:numId="9" w16cid:durableId="1478953170">
    <w:abstractNumId w:val="38"/>
  </w:num>
  <w:num w:numId="10" w16cid:durableId="900333636">
    <w:abstractNumId w:val="4"/>
  </w:num>
  <w:num w:numId="11" w16cid:durableId="1971012318">
    <w:abstractNumId w:val="6"/>
  </w:num>
  <w:num w:numId="12" w16cid:durableId="289633642">
    <w:abstractNumId w:val="19"/>
  </w:num>
  <w:num w:numId="13" w16cid:durableId="1734428022">
    <w:abstractNumId w:val="22"/>
  </w:num>
  <w:num w:numId="14" w16cid:durableId="1643608429">
    <w:abstractNumId w:val="32"/>
  </w:num>
  <w:num w:numId="15" w16cid:durableId="403724991">
    <w:abstractNumId w:val="9"/>
  </w:num>
  <w:num w:numId="16" w16cid:durableId="1975016032">
    <w:abstractNumId w:val="7"/>
  </w:num>
  <w:num w:numId="17" w16cid:durableId="1241789262">
    <w:abstractNumId w:val="17"/>
  </w:num>
  <w:num w:numId="18" w16cid:durableId="21128110">
    <w:abstractNumId w:val="31"/>
  </w:num>
  <w:num w:numId="19" w16cid:durableId="95562895">
    <w:abstractNumId w:val="26"/>
  </w:num>
  <w:num w:numId="20" w16cid:durableId="839080473">
    <w:abstractNumId w:val="8"/>
  </w:num>
  <w:num w:numId="21" w16cid:durableId="84151052">
    <w:abstractNumId w:val="27"/>
  </w:num>
  <w:num w:numId="22" w16cid:durableId="1414475264">
    <w:abstractNumId w:val="28"/>
  </w:num>
  <w:num w:numId="23" w16cid:durableId="269975274">
    <w:abstractNumId w:val="29"/>
  </w:num>
  <w:num w:numId="24" w16cid:durableId="1549876991">
    <w:abstractNumId w:val="34"/>
  </w:num>
  <w:num w:numId="25" w16cid:durableId="544676742">
    <w:abstractNumId w:val="23"/>
  </w:num>
  <w:num w:numId="26" w16cid:durableId="614211609">
    <w:abstractNumId w:val="14"/>
  </w:num>
  <w:num w:numId="27" w16cid:durableId="1713460805">
    <w:abstractNumId w:val="5"/>
  </w:num>
  <w:num w:numId="28" w16cid:durableId="1990359200">
    <w:abstractNumId w:val="24"/>
  </w:num>
  <w:num w:numId="29" w16cid:durableId="930744179">
    <w:abstractNumId w:val="1"/>
  </w:num>
  <w:num w:numId="30" w16cid:durableId="1442451441">
    <w:abstractNumId w:val="25"/>
  </w:num>
  <w:num w:numId="31" w16cid:durableId="1154224041">
    <w:abstractNumId w:val="30"/>
  </w:num>
  <w:num w:numId="32" w16cid:durableId="1050836713">
    <w:abstractNumId w:val="12"/>
  </w:num>
  <w:num w:numId="33" w16cid:durableId="1111390508">
    <w:abstractNumId w:val="18"/>
  </w:num>
  <w:num w:numId="34" w16cid:durableId="1237016301">
    <w:abstractNumId w:val="3"/>
  </w:num>
  <w:num w:numId="35" w16cid:durableId="1897468279">
    <w:abstractNumId w:val="36"/>
  </w:num>
  <w:num w:numId="36" w16cid:durableId="2051688967">
    <w:abstractNumId w:val="10"/>
  </w:num>
  <w:num w:numId="37" w16cid:durableId="257639533">
    <w:abstractNumId w:val="11"/>
  </w:num>
  <w:num w:numId="38" w16cid:durableId="256645473">
    <w:abstractNumId w:val="37"/>
  </w:num>
  <w:num w:numId="39" w16cid:durableId="28465364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6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61F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CB2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31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29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02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10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BCD"/>
    <w:rsid w:val="00992D8E"/>
    <w:rsid w:val="00992DB8"/>
    <w:rsid w:val="00992E86"/>
    <w:rsid w:val="00992F05"/>
    <w:rsid w:val="00992FA2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40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21"/>
    <w:rsid w:val="00A417A2"/>
    <w:rsid w:val="00A417BE"/>
    <w:rsid w:val="00A4180C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CFC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4960E6-84C8-4F0B-AE8B-67168EBE0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2776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2023-07-01T20:42:00Z</dcterms:created>
  <dcterms:modified xsi:type="dcterms:W3CDTF">2023-07-01T20:42:00Z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