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52FBDF" w14:textId="7238A595" w:rsidR="00A50AE3" w:rsidRPr="00A50AE3" w:rsidRDefault="00A50AE3" w:rsidP="00A50AE3">
      <w:pPr>
        <w:keepNext/>
        <w:framePr w:dropCap="drop" w:lines="3" w:wrap="around" w:vAnchor="text" w:hAnchor="text"/>
        <w:spacing w:after="0" w:line="926" w:lineRule="exact"/>
        <w:textAlignment w:val="baseline"/>
        <w:rPr>
          <w:position w:val="-9"/>
          <w:sz w:val="123"/>
          <w:lang w:val="en-US"/>
        </w:rPr>
      </w:pPr>
      <w:r w:rsidRPr="00A50AE3">
        <w:rPr>
          <w:position w:val="-9"/>
          <w:sz w:val="123"/>
          <w:lang w:val="en-US"/>
        </w:rPr>
        <w:t>E</w:t>
      </w:r>
    </w:p>
    <w:p w14:paraId="3A86D55F" w14:textId="51AC076F" w:rsidR="00F205E7" w:rsidRDefault="00A50AE3" w:rsidP="00E13FED">
      <w:r w:rsidRPr="00A50AE3">
        <w:rPr>
          <w:lang w:val="en-US"/>
        </w:rPr>
        <w:t xml:space="preserve">n </w:t>
      </w:r>
      <w:proofErr w:type="spellStart"/>
      <w:r w:rsidRPr="00A50AE3">
        <w:rPr>
          <w:lang w:val="en-US"/>
        </w:rPr>
        <w:t>otro</w:t>
      </w:r>
      <w:proofErr w:type="spellEnd"/>
      <w:r w:rsidRPr="00A50AE3">
        <w:rPr>
          <w:lang w:val="en-US"/>
        </w:rPr>
        <w:t xml:space="preserve"> </w:t>
      </w:r>
      <w:proofErr w:type="spellStart"/>
      <w:r w:rsidRPr="00A50AE3">
        <w:rPr>
          <w:lang w:val="en-US"/>
        </w:rPr>
        <w:t>párrafo</w:t>
      </w:r>
      <w:proofErr w:type="spellEnd"/>
      <w:r w:rsidRPr="00A50AE3">
        <w:rPr>
          <w:lang w:val="en-US"/>
        </w:rPr>
        <w:t xml:space="preserve">, la IFRS S1 </w:t>
      </w:r>
      <w:r w:rsidRPr="00A50AE3">
        <w:rPr>
          <w:i/>
          <w:iCs/>
          <w:lang w:val="en-US"/>
        </w:rPr>
        <w:t>General Requirements for Disclosure of Sustainability-related Financial Information</w:t>
      </w:r>
      <w:r>
        <w:rPr>
          <w:lang w:val="en-US"/>
        </w:rPr>
        <w:t>, dice: “</w:t>
      </w:r>
      <w:r w:rsidRPr="00A50AE3">
        <w:rPr>
          <w:i/>
          <w:iCs/>
          <w:lang w:val="en-US"/>
        </w:rPr>
        <w:t>28 The objective of sustainability-related financial disclosures on strategy is to enable users of general purpose financial reports to understand an entity’s strategy for managing sustainability-related risks and opportunities</w:t>
      </w:r>
      <w:r w:rsidRPr="00A50AE3">
        <w:rPr>
          <w:lang w:val="en-US"/>
        </w:rPr>
        <w:t>.</w:t>
      </w:r>
      <w:r>
        <w:rPr>
          <w:lang w:val="en-US"/>
        </w:rPr>
        <w:t xml:space="preserve">” </w:t>
      </w:r>
      <w:r w:rsidRPr="00A50AE3">
        <w:t>Según se fue construyendo por la</w:t>
      </w:r>
      <w:r>
        <w:t>s</w:t>
      </w:r>
      <w:r w:rsidRPr="00A50AE3">
        <w:t xml:space="preserve"> ciencias de la administración,</w:t>
      </w:r>
      <w:r>
        <w:t xml:space="preserve"> las entidades bien manejadas deben tener una visión del futuro, dentro de la cual deben concebir una misión. Para cumplir ésta se estipulan unos objetivos, que se componen de estrategias y éstas de tácticas. Hablar de planeación estratégica es mencionar una forma de administración que trata de ser consciente, intencional, racional, dirigida. Tiempos atrás nos bastaba conocer los riesgos y las oportunidades identificados por la empresa. Ahora queremos saber más: cómo es que vamos a evitar que los riesgos nos afecten y cómo vamos a lograr aprovechar las oportunidades.</w:t>
      </w:r>
      <w:r w:rsidR="00F14058">
        <w:t xml:space="preserve"> Es muy claro que también la administración transitó de arte a ciencia.</w:t>
      </w:r>
      <w:r w:rsidR="00F205E7">
        <w:t xml:space="preserve"> Posteriormente el estándar en cita señala: “</w:t>
      </w:r>
      <w:r w:rsidR="00F205E7" w:rsidRPr="00F205E7">
        <w:rPr>
          <w:i/>
          <w:iCs/>
        </w:rPr>
        <w:t>43 El objetivo de la divulgación de información financiera relacionada con la sostenibilidad sobre la gestión de riesgos es permitir a los usuarios de informes financieros de propósito general: a) comprender los procesos de una entidad para identificar, evaluar, priorizar y supervisar los riesgos y oportunidades relacionados con la sostenibilidad, incluido si esos procesos se integran en el proceso general de gestión de riesgos de la entidad y cómo lo informan; y b) evaluar el perfil de riesgo global de la entidad y su proceso general de gestión de riesgos.</w:t>
      </w:r>
      <w:r w:rsidR="00F205E7">
        <w:t xml:space="preserve">” </w:t>
      </w:r>
      <w:r w:rsidR="00F205E7">
        <w:t>Nos parece muy importante que la evaluación específica de riesgos y oportunidades se integre con la evaluación global. Y que, consecuentemente, también se administren como un conjunto. De lo contrario, como nos dan a parecer muchas circulares, una sola entidad es fraccionada en partes, haciendo muy difícil su buen manejo.</w:t>
      </w:r>
      <w:r w:rsidR="00E13FED">
        <w:t xml:space="preserve"> Finalmente, el estándar reza: “</w:t>
      </w:r>
      <w:r w:rsidR="00E13FED" w:rsidRPr="00E13FED">
        <w:rPr>
          <w:i/>
          <w:iCs/>
        </w:rPr>
        <w:t xml:space="preserve">46 La entidad revelará, para cada riesgo y oportunidad relacionados con la sostenibilidad que razonablemente pueda esperarse que afecte a las perspectivas de la entidad: a) métricas requeridas por una Norma de Divulgación de Sostenibilidad IFRS aplicable; y b) Métricas que la entidad utiliza para medir y monitorear: i) que el riesgo u oportunidad relacionados con la sostenibilidad; y </w:t>
      </w:r>
      <w:proofErr w:type="spellStart"/>
      <w:r w:rsidR="00E13FED" w:rsidRPr="00E13FED">
        <w:rPr>
          <w:i/>
          <w:iCs/>
        </w:rPr>
        <w:t>ii</w:t>
      </w:r>
      <w:proofErr w:type="spellEnd"/>
      <w:r w:rsidR="00E13FED" w:rsidRPr="00E13FED">
        <w:rPr>
          <w:i/>
          <w:iCs/>
        </w:rPr>
        <w:t>) su desempeño en relación con ese riesgo u oportunidad relacionados con la sostenibilidad, incluido el progreso hacia cualquier objetivo que la entidad haya establecido, y cualquier objetivo que deba cumplir por ley o reglamento.</w:t>
      </w:r>
      <w:r w:rsidR="00E13FED">
        <w:t xml:space="preserve">” Para la contabilidad (no solo para la contabilidad financiera) todo debe ser medido. Existen muchas unidades de medida que son el objeto de estudio de la ciencia denominada metrología. De tales unidades se derivan los diversos instrumentos de medida. La exactitud permite el uso sin fronteras de las cosas medidas. Como se lee en </w:t>
      </w:r>
      <w:hyperlink r:id="rId11" w:history="1">
        <w:r w:rsidR="00E13FED" w:rsidRPr="00E13FED">
          <w:rPr>
            <w:rStyle w:val="Hipervnculo"/>
          </w:rPr>
          <w:t>Wikipedia</w:t>
        </w:r>
      </w:hyperlink>
      <w:r w:rsidR="00E13FED">
        <w:t xml:space="preserve"> “</w:t>
      </w:r>
      <w:r w:rsidR="00E13FED" w:rsidRPr="00E13FED">
        <w:rPr>
          <w:i/>
          <w:iCs/>
        </w:rPr>
        <w:t>La metrología permite asegurar la comparabilidad internacional de las mediciones y por tanto la intercambiabilidad de los productos a escala internacional.</w:t>
      </w:r>
      <w:r w:rsidR="00E13FED">
        <w:t>” ¿Estamos en el momento al partir del cual lo contable será hiper ampliado?</w:t>
      </w:r>
    </w:p>
    <w:p w14:paraId="02855F77" w14:textId="3BF6F8CF" w:rsidR="00E13FED" w:rsidRPr="00A50AE3" w:rsidRDefault="00E13FED" w:rsidP="00E13FED">
      <w:pPr>
        <w:jc w:val="right"/>
      </w:pPr>
      <w:r w:rsidRPr="003C4ED4">
        <w:rPr>
          <w:i/>
          <w:iCs/>
        </w:rPr>
        <w:t>Hernando Bermúdez Gómez</w:t>
      </w:r>
    </w:p>
    <w:sectPr w:rsidR="00E13FED" w:rsidRPr="00A50AE3" w:rsidSect="00586137">
      <w:headerReference w:type="even" r:id="rId12"/>
      <w:headerReference w:type="default" r:id="rId13"/>
      <w:footerReference w:type="even" r:id="rId14"/>
      <w:footerReference w:type="default" r:id="rId15"/>
      <w:headerReference w:type="first" r:id="rId16"/>
      <w:footerReference w:type="first" r:id="rId17"/>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27A3F3" w14:textId="77777777" w:rsidR="00CB3CD0" w:rsidRDefault="00CB3CD0" w:rsidP="00EE7812">
      <w:pPr>
        <w:spacing w:after="0" w:line="240" w:lineRule="auto"/>
      </w:pPr>
      <w:r>
        <w:separator/>
      </w:r>
    </w:p>
  </w:endnote>
  <w:endnote w:type="continuationSeparator" w:id="0">
    <w:p w14:paraId="53E25783" w14:textId="77777777" w:rsidR="00CB3CD0" w:rsidRDefault="00CB3CD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267FC" w14:textId="77777777" w:rsidR="00096EAA" w:rsidRDefault="00096EA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901BD" w14:textId="77777777" w:rsidR="00096EAA" w:rsidRDefault="00096EA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1DC41" w14:textId="77777777" w:rsidR="00CB3CD0" w:rsidRDefault="00CB3CD0" w:rsidP="00EE7812">
      <w:pPr>
        <w:spacing w:after="0" w:line="240" w:lineRule="auto"/>
      </w:pPr>
      <w:r>
        <w:separator/>
      </w:r>
    </w:p>
  </w:footnote>
  <w:footnote w:type="continuationSeparator" w:id="0">
    <w:p w14:paraId="43505081" w14:textId="77777777" w:rsidR="00CB3CD0" w:rsidRDefault="00CB3CD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F248B" w14:textId="77777777" w:rsidR="00096EAA" w:rsidRDefault="00096EA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74B7CE03"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393CB7">
      <w:t>4</w:t>
    </w:r>
    <w:r w:rsidR="00EB6F01">
      <w:t>7</w:t>
    </w:r>
    <w:r w:rsidR="000E1432">
      <w:t>5</w:t>
    </w:r>
    <w:r>
      <w:t>,</w:t>
    </w:r>
    <w:r w:rsidR="001E23A5">
      <w:t xml:space="preserve"> </w:t>
    </w:r>
    <w:r w:rsidR="00096EAA">
      <w:t>10</w:t>
    </w:r>
    <w:r w:rsidR="001E23A5">
      <w:t xml:space="preserve"> </w:t>
    </w:r>
    <w:r w:rsidR="009365CF">
      <w:t>de</w:t>
    </w:r>
    <w:r w:rsidR="001E23A5">
      <w:t xml:space="preserve"> </w:t>
    </w:r>
    <w:r w:rsidR="000D7166">
      <w:t>ju</w:t>
    </w:r>
    <w:r w:rsidR="002D20E0">
      <w:t>l</w:t>
    </w:r>
    <w:r w:rsidR="000D7166">
      <w:t>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0642E" w14:textId="77777777" w:rsidR="00096EAA" w:rsidRDefault="00096EA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57314244">
    <w:abstractNumId w:val="0"/>
  </w:num>
  <w:num w:numId="2" w16cid:durableId="1251350599">
    <w:abstractNumId w:val="21"/>
  </w:num>
  <w:num w:numId="3" w16cid:durableId="1481115441">
    <w:abstractNumId w:val="15"/>
  </w:num>
  <w:num w:numId="4" w16cid:durableId="1247567288">
    <w:abstractNumId w:val="2"/>
  </w:num>
  <w:num w:numId="5" w16cid:durableId="922296113">
    <w:abstractNumId w:val="20"/>
  </w:num>
  <w:num w:numId="6" w16cid:durableId="1223175655">
    <w:abstractNumId w:val="35"/>
  </w:num>
  <w:num w:numId="7" w16cid:durableId="1250771051">
    <w:abstractNumId w:val="13"/>
  </w:num>
  <w:num w:numId="8" w16cid:durableId="1512256411">
    <w:abstractNumId w:val="33"/>
  </w:num>
  <w:num w:numId="9" w16cid:durableId="1998531538">
    <w:abstractNumId w:val="38"/>
  </w:num>
  <w:num w:numId="10" w16cid:durableId="1677808743">
    <w:abstractNumId w:val="4"/>
  </w:num>
  <w:num w:numId="11" w16cid:durableId="978000179">
    <w:abstractNumId w:val="6"/>
  </w:num>
  <w:num w:numId="12" w16cid:durableId="1790005756">
    <w:abstractNumId w:val="19"/>
  </w:num>
  <w:num w:numId="13" w16cid:durableId="2073581261">
    <w:abstractNumId w:val="22"/>
  </w:num>
  <w:num w:numId="14" w16cid:durableId="1045760181">
    <w:abstractNumId w:val="32"/>
  </w:num>
  <w:num w:numId="15" w16cid:durableId="1694726834">
    <w:abstractNumId w:val="9"/>
  </w:num>
  <w:num w:numId="16" w16cid:durableId="1568109709">
    <w:abstractNumId w:val="7"/>
  </w:num>
  <w:num w:numId="17" w16cid:durableId="1835797977">
    <w:abstractNumId w:val="17"/>
  </w:num>
  <w:num w:numId="18" w16cid:durableId="1163546942">
    <w:abstractNumId w:val="31"/>
  </w:num>
  <w:num w:numId="19" w16cid:durableId="562720357">
    <w:abstractNumId w:val="26"/>
  </w:num>
  <w:num w:numId="20" w16cid:durableId="718360322">
    <w:abstractNumId w:val="8"/>
  </w:num>
  <w:num w:numId="21" w16cid:durableId="1702897443">
    <w:abstractNumId w:val="27"/>
  </w:num>
  <w:num w:numId="22" w16cid:durableId="77601875">
    <w:abstractNumId w:val="28"/>
  </w:num>
  <w:num w:numId="23" w16cid:durableId="553851246">
    <w:abstractNumId w:val="29"/>
  </w:num>
  <w:num w:numId="24" w16cid:durableId="1390113658">
    <w:abstractNumId w:val="34"/>
  </w:num>
  <w:num w:numId="25" w16cid:durableId="2081513811">
    <w:abstractNumId w:val="23"/>
  </w:num>
  <w:num w:numId="26" w16cid:durableId="1247113823">
    <w:abstractNumId w:val="14"/>
  </w:num>
  <w:num w:numId="27" w16cid:durableId="1360013510">
    <w:abstractNumId w:val="5"/>
  </w:num>
  <w:num w:numId="28" w16cid:durableId="2102988499">
    <w:abstractNumId w:val="24"/>
  </w:num>
  <w:num w:numId="29" w16cid:durableId="118182115">
    <w:abstractNumId w:val="1"/>
  </w:num>
  <w:num w:numId="30" w16cid:durableId="1882984120">
    <w:abstractNumId w:val="25"/>
  </w:num>
  <w:num w:numId="31" w16cid:durableId="80490414">
    <w:abstractNumId w:val="30"/>
  </w:num>
  <w:num w:numId="32" w16cid:durableId="1880239243">
    <w:abstractNumId w:val="12"/>
  </w:num>
  <w:num w:numId="33" w16cid:durableId="1491674894">
    <w:abstractNumId w:val="18"/>
  </w:num>
  <w:num w:numId="34" w16cid:durableId="626856453">
    <w:abstractNumId w:val="3"/>
  </w:num>
  <w:num w:numId="35" w16cid:durableId="1063715161">
    <w:abstractNumId w:val="36"/>
  </w:num>
  <w:num w:numId="36" w16cid:durableId="866407489">
    <w:abstractNumId w:val="10"/>
  </w:num>
  <w:num w:numId="37" w16cid:durableId="1792900788">
    <w:abstractNumId w:val="11"/>
  </w:num>
  <w:num w:numId="38" w16cid:durableId="1988586883">
    <w:abstractNumId w:val="37"/>
  </w:num>
  <w:num w:numId="39" w16cid:durableId="279531528">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8B"/>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61F"/>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CB2"/>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29"/>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3A1"/>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02"/>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BCD"/>
    <w:rsid w:val="00992D8E"/>
    <w:rsid w:val="00992DB8"/>
    <w:rsid w:val="00992E86"/>
    <w:rsid w:val="00992F05"/>
    <w:rsid w:val="00992FA2"/>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40"/>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21"/>
    <w:rsid w:val="00A417A2"/>
    <w:rsid w:val="00A417BE"/>
    <w:rsid w:val="00A4180C"/>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8C"/>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CD0"/>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CFC"/>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058"/>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s.wikipedia.org/wiki/Metrolog%C3%ADa"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5694BAD4-7858-420D-8D37-40B9B051F52F}">
  <ds:schemaRefs>
    <ds:schemaRef ds:uri="http://schemas.openxmlformats.org/officeDocument/2006/bibliography"/>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508</Words>
  <Characters>2795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2023-07-07T23:05:00Z</dcterms:created>
  <dcterms:modified xsi:type="dcterms:W3CDTF">2023-07-07T23:05:00Z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