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C0E" w14:textId="4B1216BF" w:rsidR="001B0999" w:rsidRPr="001B0999" w:rsidRDefault="001B0999" w:rsidP="001B09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1B0999">
        <w:rPr>
          <w:position w:val="-8"/>
          <w:sz w:val="120"/>
        </w:rPr>
        <w:t>C</w:t>
      </w:r>
    </w:p>
    <w:p w14:paraId="7D48BC91" w14:textId="32C44079" w:rsidR="00B64E53" w:rsidRDefault="001B0999" w:rsidP="001B0999">
      <w:r>
        <w:t xml:space="preserve">on gran frecuencia se habla de la contribución que la profesión contable debe hacer a la “(…) </w:t>
      </w:r>
      <w:r w:rsidRPr="001B0999">
        <w:rPr>
          <w:i/>
        </w:rPr>
        <w:t>lucha contra la corrupción para el bienestar y crecimiento socio económico del país</w:t>
      </w:r>
      <w:r w:rsidRPr="001B0999">
        <w:t>.</w:t>
      </w:r>
      <w:r>
        <w:t xml:space="preserve">”, como, se reitera en la exposición de motivos del </w:t>
      </w:r>
      <w:hyperlink r:id="rId11" w:history="1">
        <w:r w:rsidRPr="001B0999">
          <w:rPr>
            <w:rStyle w:val="Hipervnculo"/>
          </w:rPr>
          <w:t>anteproyecto</w:t>
        </w:r>
      </w:hyperlink>
      <w:r>
        <w:t xml:space="preserve"> de ley elaborado por el CTCP. De estas afirmaciones, que muchos en algún momento compartimos, los malos intérpretes han deducido consecuencias nefastas para la profesión contable colombiana. En primer lugar, a todos, funcionarios del Estado o particulares, se nos olvida que esos deberes son de todas las personas y no solo de los contables.</w:t>
      </w:r>
      <w:r w:rsidR="009449DD">
        <w:t xml:space="preserve"> En segundo lugar, nunca hemos articulado esos deberes con las personas a las cuales se prestan los servicios de teneduría, compilación o aseguramiento. No faltan los que entienden que, si nada se dice de otros protagonistas, como los dueños, controlantes o administradores de las personas jurídicas, es que todo esfuerzo toca a los contadores. Esto es falso. En ningún caso la presencia de un contador preparador o asegurador libera aquellos de sus responsabilidades directas y personales. La justicia implica poner en cada uno la responsabilidad que le toca y no en condenar a algunos y dar la espalda a lo que otros hacen. Curiosamente se tituló el anteproyecto como el instrumento mediante el cual se expedirá un código de ética, pero éste no llega a ser un título sino apenas de un capítulo. Se dice</w:t>
      </w:r>
      <w:r w:rsidR="007A09CF">
        <w:t>,</w:t>
      </w:r>
      <w:r w:rsidR="009449DD">
        <w:t xml:space="preserve"> en el documento que estamos analizando</w:t>
      </w:r>
      <w:r w:rsidR="007A09CF">
        <w:t>,</w:t>
      </w:r>
      <w:r w:rsidR="009449DD">
        <w:t xml:space="preserve"> que contiene </w:t>
      </w:r>
      <w:r w:rsidR="009449DD" w:rsidRPr="009449DD">
        <w:rPr>
          <w:i/>
        </w:rPr>
        <w:t xml:space="preserve">“(…) la estipulación del Código de Ética al cual deben ajustarse todas sus actuaciones y conducta profesional, en concordancia con el código reconocido a nivel internacional para la </w:t>
      </w:r>
      <w:r w:rsidR="009449DD" w:rsidRPr="009449DD">
        <w:rPr>
          <w:i/>
        </w:rPr>
        <w:t>profesión contable</w:t>
      </w:r>
      <w:r w:rsidR="009449DD">
        <w:t xml:space="preserve"> (…)”, que es exactamente igual a lo indicado hoy por la ley, con la gran diferencia de que la actual es, como lo subrayó el Consejo de Estado, una norma de intervención económica.</w:t>
      </w:r>
      <w:r w:rsidR="007A09CF">
        <w:t xml:space="preserve"> Como ya lo indicamos en otros números de Contrapartida, deberíamos inclinarnos por la consagración de principios y no por la introducción de inhabilidades e incompatibilidades, cuyo casuismo nos ha llevado a andar sobre la línea gris (hacer lo malo pareciendo hacer lo bueno). No es del cumplimiento de la ley que se derivan calidades o virtudes, como la confianza pública. Es del comportamiento ético, en especial de la observancia de la integridad y de la objetividad, que puede esperarse que la comunidad crea en los contadores. Los pocos que ayudan a sus contratantes a engañar a los demás son suficientes para cubrir de un manto de duda a toda la profesión, como se dan el lujo de sostener muchos funcionarios del estado y algunos contadores. Ojalá vuelvan los días en los cuales se hagan análisis cuidadosos de los procesos disciplinarios tramitados por la JCC y se tome a nivel gremial posiciones, sea de aplauso o de rechazo, de manera que la exigencia ética ocupe el puesto de importancia que tiene, por encima de todo otro tipo de estándares. Mientras se mantenga en secreto</w:t>
      </w:r>
      <w:r w:rsidR="00B96492">
        <w:t>,</w:t>
      </w:r>
      <w:r w:rsidR="007A09CF">
        <w:t xml:space="preserve"> casi en su totalidad</w:t>
      </w:r>
      <w:r w:rsidR="00B96492">
        <w:t>,</w:t>
      </w:r>
      <w:r w:rsidR="007A09CF">
        <w:t xml:space="preserve"> cada proceso</w:t>
      </w:r>
      <w:r w:rsidR="00B96492">
        <w:t>,</w:t>
      </w:r>
      <w:r w:rsidR="007A09CF">
        <w:t xml:space="preserve"> la profesión colombiana seguirá pensando que dicho órgano es ineficaz, por más conferencias que se pronuncien al respecto.</w:t>
      </w:r>
      <w:r w:rsidR="00B96492">
        <w:t xml:space="preserve"> La ética es una sola, respecto de toda actividad humana. Los contadores deben aplicar esa ética.</w:t>
      </w:r>
    </w:p>
    <w:p w14:paraId="2DEA32CE" w14:textId="067E1D76" w:rsidR="00B96492" w:rsidRPr="001B0999" w:rsidRDefault="00B96492" w:rsidP="00B96492">
      <w:pPr>
        <w:jc w:val="right"/>
      </w:pPr>
      <w:r w:rsidRPr="00844BFA">
        <w:rPr>
          <w:i/>
        </w:rPr>
        <w:t>Hernando Bermúdez Gómez</w:t>
      </w:r>
    </w:p>
    <w:sectPr w:rsidR="00B96492" w:rsidRPr="001B0999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DEAA" w14:textId="77777777" w:rsidR="007E7080" w:rsidRDefault="007E7080" w:rsidP="00EE7812">
      <w:pPr>
        <w:spacing w:after="0" w:line="240" w:lineRule="auto"/>
      </w:pPr>
      <w:r>
        <w:separator/>
      </w:r>
    </w:p>
  </w:endnote>
  <w:endnote w:type="continuationSeparator" w:id="0">
    <w:p w14:paraId="77D6B6C8" w14:textId="77777777" w:rsidR="007E7080" w:rsidRDefault="007E70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0C64" w14:textId="77777777" w:rsidR="007E7080" w:rsidRDefault="007E7080" w:rsidP="00EE7812">
      <w:pPr>
        <w:spacing w:after="0" w:line="240" w:lineRule="auto"/>
      </w:pPr>
      <w:r>
        <w:separator/>
      </w:r>
    </w:p>
  </w:footnote>
  <w:footnote w:type="continuationSeparator" w:id="0">
    <w:p w14:paraId="76050BD0" w14:textId="77777777" w:rsidR="007E7080" w:rsidRDefault="007E70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A4873BB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645A9E">
      <w:t>8</w:t>
    </w:r>
    <w:r w:rsidR="009C68A5">
      <w:t>9</w:t>
    </w:r>
    <w:r>
      <w:t>,</w:t>
    </w:r>
    <w:r w:rsidR="001E23A5">
      <w:t xml:space="preserve"> </w:t>
    </w:r>
    <w:r w:rsidR="00096EAA">
      <w:t>1</w:t>
    </w:r>
    <w:r w:rsidR="009C68A5">
      <w:t>7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03148">
    <w:abstractNumId w:val="0"/>
  </w:num>
  <w:num w:numId="2" w16cid:durableId="1876456342">
    <w:abstractNumId w:val="21"/>
  </w:num>
  <w:num w:numId="3" w16cid:durableId="1610311358">
    <w:abstractNumId w:val="15"/>
  </w:num>
  <w:num w:numId="4" w16cid:durableId="2102984871">
    <w:abstractNumId w:val="2"/>
  </w:num>
  <w:num w:numId="5" w16cid:durableId="1400789111">
    <w:abstractNumId w:val="20"/>
  </w:num>
  <w:num w:numId="6" w16cid:durableId="1081871659">
    <w:abstractNumId w:val="35"/>
  </w:num>
  <w:num w:numId="7" w16cid:durableId="617109447">
    <w:abstractNumId w:val="13"/>
  </w:num>
  <w:num w:numId="8" w16cid:durableId="739251519">
    <w:abstractNumId w:val="33"/>
  </w:num>
  <w:num w:numId="9" w16cid:durableId="1725829539">
    <w:abstractNumId w:val="38"/>
  </w:num>
  <w:num w:numId="10" w16cid:durableId="789057591">
    <w:abstractNumId w:val="4"/>
  </w:num>
  <w:num w:numId="11" w16cid:durableId="176160969">
    <w:abstractNumId w:val="6"/>
  </w:num>
  <w:num w:numId="12" w16cid:durableId="1973972609">
    <w:abstractNumId w:val="19"/>
  </w:num>
  <w:num w:numId="13" w16cid:durableId="1037580273">
    <w:abstractNumId w:val="22"/>
  </w:num>
  <w:num w:numId="14" w16cid:durableId="158542770">
    <w:abstractNumId w:val="32"/>
  </w:num>
  <w:num w:numId="15" w16cid:durableId="1381242786">
    <w:abstractNumId w:val="9"/>
  </w:num>
  <w:num w:numId="16" w16cid:durableId="1542012511">
    <w:abstractNumId w:val="7"/>
  </w:num>
  <w:num w:numId="17" w16cid:durableId="1342658242">
    <w:abstractNumId w:val="17"/>
  </w:num>
  <w:num w:numId="18" w16cid:durableId="1968508112">
    <w:abstractNumId w:val="31"/>
  </w:num>
  <w:num w:numId="19" w16cid:durableId="885917564">
    <w:abstractNumId w:val="26"/>
  </w:num>
  <w:num w:numId="20" w16cid:durableId="1368482625">
    <w:abstractNumId w:val="8"/>
  </w:num>
  <w:num w:numId="21" w16cid:durableId="878394986">
    <w:abstractNumId w:val="27"/>
  </w:num>
  <w:num w:numId="22" w16cid:durableId="29456929">
    <w:abstractNumId w:val="28"/>
  </w:num>
  <w:num w:numId="23" w16cid:durableId="947272573">
    <w:abstractNumId w:val="29"/>
  </w:num>
  <w:num w:numId="24" w16cid:durableId="212424109">
    <w:abstractNumId w:val="34"/>
  </w:num>
  <w:num w:numId="25" w16cid:durableId="795215469">
    <w:abstractNumId w:val="23"/>
  </w:num>
  <w:num w:numId="26" w16cid:durableId="1330408242">
    <w:abstractNumId w:val="14"/>
  </w:num>
  <w:num w:numId="27" w16cid:durableId="308289642">
    <w:abstractNumId w:val="5"/>
  </w:num>
  <w:num w:numId="28" w16cid:durableId="1908494554">
    <w:abstractNumId w:val="24"/>
  </w:num>
  <w:num w:numId="29" w16cid:durableId="1904027466">
    <w:abstractNumId w:val="1"/>
  </w:num>
  <w:num w:numId="30" w16cid:durableId="1117720879">
    <w:abstractNumId w:val="25"/>
  </w:num>
  <w:num w:numId="31" w16cid:durableId="862278740">
    <w:abstractNumId w:val="30"/>
  </w:num>
  <w:num w:numId="32" w16cid:durableId="2005428632">
    <w:abstractNumId w:val="12"/>
  </w:num>
  <w:num w:numId="33" w16cid:durableId="915820973">
    <w:abstractNumId w:val="18"/>
  </w:num>
  <w:num w:numId="34" w16cid:durableId="1408457253">
    <w:abstractNumId w:val="3"/>
  </w:num>
  <w:num w:numId="35" w16cid:durableId="1352687054">
    <w:abstractNumId w:val="36"/>
  </w:num>
  <w:num w:numId="36" w16cid:durableId="1998220040">
    <w:abstractNumId w:val="10"/>
  </w:num>
  <w:num w:numId="37" w16cid:durableId="1672828398">
    <w:abstractNumId w:val="11"/>
  </w:num>
  <w:num w:numId="38" w16cid:durableId="216743552">
    <w:abstractNumId w:val="37"/>
  </w:num>
  <w:num w:numId="39" w16cid:durableId="20749664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9AE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0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832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D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57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07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3E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cp.gov.co/proyectos/contabilidad-e-informacion-financiera/documentos-organismos-internacionales/proyecto-de-ley-por-el-cual-se-regula-el-ejercicio/exposicion-de-motivos-proyecto-de-ley-regulacion-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F72F60-187C-400A-B1C7-1DE866AF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2023-07-15T20:34:00Z</dcterms:created>
  <dcterms:modified xsi:type="dcterms:W3CDTF">2023-07-15T20:34:00Z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