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F85DF0" w14:textId="2E61C2F0" w:rsidR="00700AF9" w:rsidRPr="00700AF9" w:rsidRDefault="00700AF9" w:rsidP="00700AF9">
      <w:pPr>
        <w:keepNext/>
        <w:framePr w:dropCap="drop" w:lines="3" w:wrap="around" w:vAnchor="text" w:hAnchor="text"/>
        <w:spacing w:after="0" w:line="926" w:lineRule="exact"/>
        <w:textAlignment w:val="baseline"/>
        <w:rPr>
          <w:position w:val="-9"/>
          <w:sz w:val="123"/>
        </w:rPr>
      </w:pPr>
      <w:r w:rsidRPr="00700AF9">
        <w:rPr>
          <w:position w:val="-9"/>
          <w:sz w:val="123"/>
        </w:rPr>
        <w:t>E</w:t>
      </w:r>
    </w:p>
    <w:p w14:paraId="6C9F4720" w14:textId="2DB97DB0" w:rsidR="00685AE4" w:rsidRDefault="00700AF9" w:rsidP="00710C32">
      <w:r>
        <w:t>n las propiedades horizontales los miembros son los propietarios y no los inmuebles. Por lo tanto, son aquellos y no estos los que se representan en las reuniones de la copropiedad</w:t>
      </w:r>
      <w:r w:rsidR="00613FBB">
        <w:t xml:space="preserve"> (artículo 32 de la </w:t>
      </w:r>
      <w:hyperlink r:id="rId11" w:history="1">
        <w:r w:rsidR="00613FBB" w:rsidRPr="00613FBB">
          <w:rPr>
            <w:rStyle w:val="Hipervnculo"/>
          </w:rPr>
          <w:t>Ley 675 de 2001</w:t>
        </w:r>
      </w:hyperlink>
      <w:r w:rsidR="00613FBB">
        <w:t>). En Colombia “</w:t>
      </w:r>
      <w:r w:rsidR="00613FBB" w:rsidRPr="00613FBB">
        <w:rPr>
          <w:i/>
        </w:rPr>
        <w:t>Solo los establecimientos de crédito y las sociedades fiduciarias, especialmente autorizados por la Superintendencia Bancaria, podrán tener la calidad de fiduciarios.</w:t>
      </w:r>
      <w:r w:rsidR="00613FBB">
        <w:t xml:space="preserve">” (artículo 1226 del </w:t>
      </w:r>
      <w:hyperlink r:id="rId12" w:history="1">
        <w:r w:rsidR="00613FBB" w:rsidRPr="00613FBB">
          <w:rPr>
            <w:rStyle w:val="Hipervnculo"/>
          </w:rPr>
          <w:t>Código de Comercio</w:t>
        </w:r>
      </w:hyperlink>
      <w:r w:rsidR="00613FBB">
        <w:t xml:space="preserve">) Así las cosas, en principio todos los actos de fiducia son comerciales. Por ello debe </w:t>
      </w:r>
      <w:r w:rsidR="00FE3064">
        <w:t>analizarse cuidadosamente la afirmación según la cual un conjunto está sometido a una fiducia civil.</w:t>
      </w:r>
      <w:r w:rsidR="005F610E">
        <w:t xml:space="preserve"> Para establecer la propiedad de un bien inmueble</w:t>
      </w:r>
      <w:r w:rsidR="0000606B">
        <w:t xml:space="preserve"> en principio debe recurrirse a un certificado de tradición expedido por la correspondiente Oficina de Registro de Instrumentos Públicos (artículos 46 y 67 Ley </w:t>
      </w:r>
      <w:hyperlink r:id="rId13" w:history="1">
        <w:r w:rsidR="0000606B" w:rsidRPr="0000606B">
          <w:rPr>
            <w:rStyle w:val="Hipervnculo"/>
          </w:rPr>
          <w:t>1579 de 2012</w:t>
        </w:r>
      </w:hyperlink>
      <w:r w:rsidR="0000606B">
        <w:t>)</w:t>
      </w:r>
      <w:r w:rsidR="009C7F02">
        <w:t xml:space="preserve">. Entonces se sabrá si se transmitió o no la propiedad de un inmueble. Mientras no se cumpla </w:t>
      </w:r>
      <w:r w:rsidR="004F6B58">
        <w:t>la condición del fideicomiso el beneficiario no es propietario. En la fiducia civil podría continuar siéndolo el propietario, en la mercantil el propietario será la sociedad fiduciaria. En ambos casos existe una condición resolutoria que pondrá fin a las relaciones jurídicas fiduciarias. Si a la muerte del constituyente el bien debe pasar a la propiedad de uno de sus hijos, debe tenerse cuidado con el cumplimiento de las normas sucesorales.</w:t>
      </w:r>
      <w:r w:rsidR="00186081">
        <w:t xml:space="preserve"> Ahora bien: ¿es la propiedad un asunto que deba definir un contador público? No. Esta es tarea propia de abogados y el contador debe cuidarse que se cumplan las reglas aplicables a los expertos.</w:t>
      </w:r>
      <w:r w:rsidR="004B1730">
        <w:t xml:space="preserve"> </w:t>
      </w:r>
      <w:r w:rsidR="00B30722">
        <w:t xml:space="preserve">Insatisfecho el contador debe consultar a un experto propio. Consultar al CTCP no es apropiado porque no se trata de </w:t>
      </w:r>
      <w:r w:rsidR="00B30722">
        <w:t xml:space="preserve">un asunto contable sino jurídico. </w:t>
      </w:r>
      <w:r w:rsidR="00DC3359">
        <w:t>Además,</w:t>
      </w:r>
      <w:r w:rsidR="00B30722">
        <w:t xml:space="preserve"> siempre hay que recordar que </w:t>
      </w:r>
      <w:r w:rsidR="00DC3359">
        <w:t xml:space="preserve">según el </w:t>
      </w:r>
      <w:hyperlink r:id="rId14" w:history="1">
        <w:r w:rsidR="00DC3359" w:rsidRPr="006D60D4">
          <w:rPr>
            <w:rStyle w:val="Hipervnculo"/>
          </w:rPr>
          <w:t>Código de Procedimiento Administrativo y de lo Contencioso Administrativo</w:t>
        </w:r>
      </w:hyperlink>
      <w:r w:rsidR="00DC3359">
        <w:t xml:space="preserve"> “</w:t>
      </w:r>
      <w:r w:rsidR="00DC3359" w:rsidRPr="00DC3359">
        <w:rPr>
          <w:i/>
          <w:iCs/>
        </w:rPr>
        <w:t>Artículo 28. Alcance de los conceptos. Salvo disposición legal en contrario, los conceptos emitidos por las autoridades como respuestas a peticiones realizadas en ejercicio del derecho a formular consultas no serán de obligatorio cumplimiento o ejecución.</w:t>
      </w:r>
      <w:r w:rsidR="00DC3359">
        <w:t xml:space="preserve">” </w:t>
      </w:r>
      <w:r w:rsidR="006F5A72">
        <w:t xml:space="preserve">Los contratos subyacentes a la situación de que se trata deben ser leídos muy cuidadosamente porque es posible generar muchos derechos u obligaciones. Debe recordarse que </w:t>
      </w:r>
      <w:r w:rsidR="00D61AFE">
        <w:t xml:space="preserve">según el </w:t>
      </w:r>
      <w:hyperlink r:id="rId15" w:history="1">
        <w:r w:rsidR="00D61AFE" w:rsidRPr="00196C9D">
          <w:rPr>
            <w:rStyle w:val="Hipervnculo"/>
          </w:rPr>
          <w:t>Código Civil</w:t>
        </w:r>
      </w:hyperlink>
      <w:r w:rsidR="00D61AFE">
        <w:t xml:space="preserve"> se puede separar la nuda propiedad del goce.</w:t>
      </w:r>
      <w:r w:rsidR="00196C9D">
        <w:t xml:space="preserve"> Una persona puede ser propietaria del usufructo o propietaria del uso. Los convenios fiduciarios pueden afectar a toda la propiedad o a cada parte.</w:t>
      </w:r>
      <w:r w:rsidR="006358E7">
        <w:t xml:space="preserve"> Así las </w:t>
      </w:r>
      <w:r w:rsidR="001A5685">
        <w:t>cosas,</w:t>
      </w:r>
      <w:r w:rsidR="006358E7">
        <w:t xml:space="preserve"> es posible que se transfiera la nuda propiedad</w:t>
      </w:r>
      <w:r w:rsidR="00524438">
        <w:t>,</w:t>
      </w:r>
      <w:r w:rsidR="006358E7">
        <w:t xml:space="preserve"> pero no el usufructo ni el uso.</w:t>
      </w:r>
      <w:r w:rsidR="001A5685">
        <w:t xml:space="preserve"> Se nos antoja que en el caso en estudio los constituyentes siguen usando los inmuebles</w:t>
      </w:r>
      <w:r w:rsidR="00524438">
        <w:t>, es decir, que vendrán ser residentes de la copropiedad.</w:t>
      </w:r>
      <w:r w:rsidR="00B961D6">
        <w:t xml:space="preserve"> Esto no es equivalente a ser </w:t>
      </w:r>
      <w:r w:rsidR="00B40792">
        <w:t>propietario,</w:t>
      </w:r>
      <w:r w:rsidR="00B961D6">
        <w:t xml:space="preserve"> pero si los involucra en una situación jurídica respecto de la copropiedad.</w:t>
      </w:r>
      <w:r w:rsidR="00B40792">
        <w:t xml:space="preserve"> La medida de poder de un propietario es su coeficiente de copropiedad. Este es el resultado de establecer cuánto representan sus bienes privados sobre el respectivo total.</w:t>
      </w:r>
      <w:r w:rsidR="00B540EE">
        <w:t xml:space="preserve"> Por lo </w:t>
      </w:r>
      <w:r w:rsidR="0026783F">
        <w:t>tanto,</w:t>
      </w:r>
      <w:r w:rsidR="00B540EE">
        <w:t xml:space="preserve"> los órganos de la copropiedad no funcionan por cabezas, como mal piensan muchos.</w:t>
      </w:r>
      <w:r w:rsidR="0026783F">
        <w:t xml:space="preserve"> Las copropiedades son personas jurídicas con un régimen propio, que requiere de estudio propio. Como varias veces lo hemos señalado los contadores no deben pasar por alto esta diversidad.</w:t>
      </w:r>
    </w:p>
    <w:p w14:paraId="64932C0F" w14:textId="6F48C1F3" w:rsidR="0026783F" w:rsidRPr="00710C32" w:rsidRDefault="0026783F" w:rsidP="0026783F">
      <w:pPr>
        <w:jc w:val="right"/>
      </w:pPr>
      <w:r w:rsidRPr="003C4ED4">
        <w:rPr>
          <w:i/>
          <w:iCs/>
        </w:rPr>
        <w:t>Hernando Bermúdez Gómez</w:t>
      </w:r>
    </w:p>
    <w:sectPr w:rsidR="0026783F" w:rsidRPr="00710C32" w:rsidSect="00586137">
      <w:headerReference w:type="default" r:id="rId16"/>
      <w:footerReference w:type="default" r:id="rId17"/>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DD35A0" w14:textId="77777777" w:rsidR="007E059A" w:rsidRDefault="007E059A" w:rsidP="00EE7812">
      <w:pPr>
        <w:spacing w:after="0" w:line="240" w:lineRule="auto"/>
      </w:pPr>
      <w:r>
        <w:separator/>
      </w:r>
    </w:p>
  </w:endnote>
  <w:endnote w:type="continuationSeparator" w:id="0">
    <w:p w14:paraId="38E72909" w14:textId="77777777" w:rsidR="007E059A" w:rsidRDefault="007E059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43C20D" w14:textId="77777777" w:rsidR="007E059A" w:rsidRDefault="007E059A" w:rsidP="00EE7812">
      <w:pPr>
        <w:spacing w:after="0" w:line="240" w:lineRule="auto"/>
      </w:pPr>
      <w:r>
        <w:separator/>
      </w:r>
    </w:p>
  </w:footnote>
  <w:footnote w:type="continuationSeparator" w:id="0">
    <w:p w14:paraId="48E01413" w14:textId="77777777" w:rsidR="007E059A" w:rsidRDefault="007E059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3CE60191"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5A74E8">
      <w:t>5</w:t>
    </w:r>
    <w:r w:rsidR="00D06BD8">
      <w:t>3</w:t>
    </w:r>
    <w:r w:rsidR="00484B2F">
      <w:t>4</w:t>
    </w:r>
    <w:r>
      <w:t>,</w:t>
    </w:r>
    <w:r w:rsidR="001E23A5">
      <w:t xml:space="preserve"> </w:t>
    </w:r>
    <w:r w:rsidR="00484B2F">
      <w:t>7</w:t>
    </w:r>
    <w:r w:rsidR="001E23A5">
      <w:t xml:space="preserve"> </w:t>
    </w:r>
    <w:r w:rsidR="009365CF">
      <w:t>de</w:t>
    </w:r>
    <w:r w:rsidR="001E23A5">
      <w:t xml:space="preserve"> </w:t>
    </w:r>
    <w:r w:rsidR="00484B2F">
      <w:t>agosto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980113914">
    <w:abstractNumId w:val="0"/>
  </w:num>
  <w:num w:numId="2" w16cid:durableId="68773721">
    <w:abstractNumId w:val="21"/>
  </w:num>
  <w:num w:numId="3" w16cid:durableId="1749958537">
    <w:abstractNumId w:val="15"/>
  </w:num>
  <w:num w:numId="4" w16cid:durableId="1218593929">
    <w:abstractNumId w:val="2"/>
  </w:num>
  <w:num w:numId="5" w16cid:durableId="1305355316">
    <w:abstractNumId w:val="20"/>
  </w:num>
  <w:num w:numId="6" w16cid:durableId="586185614">
    <w:abstractNumId w:val="35"/>
  </w:num>
  <w:num w:numId="7" w16cid:durableId="748430101">
    <w:abstractNumId w:val="13"/>
  </w:num>
  <w:num w:numId="8" w16cid:durableId="1967077282">
    <w:abstractNumId w:val="33"/>
  </w:num>
  <w:num w:numId="9" w16cid:durableId="1196885826">
    <w:abstractNumId w:val="38"/>
  </w:num>
  <w:num w:numId="10" w16cid:durableId="231158103">
    <w:abstractNumId w:val="4"/>
  </w:num>
  <w:num w:numId="11" w16cid:durableId="2002731162">
    <w:abstractNumId w:val="6"/>
  </w:num>
  <w:num w:numId="12" w16cid:durableId="1248223733">
    <w:abstractNumId w:val="19"/>
  </w:num>
  <w:num w:numId="13" w16cid:durableId="521480842">
    <w:abstractNumId w:val="22"/>
  </w:num>
  <w:num w:numId="14" w16cid:durableId="910115561">
    <w:abstractNumId w:val="32"/>
  </w:num>
  <w:num w:numId="15" w16cid:durableId="789276094">
    <w:abstractNumId w:val="9"/>
  </w:num>
  <w:num w:numId="16" w16cid:durableId="1389381308">
    <w:abstractNumId w:val="7"/>
  </w:num>
  <w:num w:numId="17" w16cid:durableId="2142533248">
    <w:abstractNumId w:val="17"/>
  </w:num>
  <w:num w:numId="18" w16cid:durableId="728840619">
    <w:abstractNumId w:val="31"/>
  </w:num>
  <w:num w:numId="19" w16cid:durableId="1279098252">
    <w:abstractNumId w:val="26"/>
  </w:num>
  <w:num w:numId="20" w16cid:durableId="1924221272">
    <w:abstractNumId w:val="8"/>
  </w:num>
  <w:num w:numId="21" w16cid:durableId="1924758852">
    <w:abstractNumId w:val="27"/>
  </w:num>
  <w:num w:numId="22" w16cid:durableId="1412043766">
    <w:abstractNumId w:val="28"/>
  </w:num>
  <w:num w:numId="23" w16cid:durableId="2033451118">
    <w:abstractNumId w:val="29"/>
  </w:num>
  <w:num w:numId="24" w16cid:durableId="2140418595">
    <w:abstractNumId w:val="34"/>
  </w:num>
  <w:num w:numId="25" w16cid:durableId="1937013664">
    <w:abstractNumId w:val="23"/>
  </w:num>
  <w:num w:numId="26" w16cid:durableId="1538815902">
    <w:abstractNumId w:val="14"/>
  </w:num>
  <w:num w:numId="27" w16cid:durableId="1165323720">
    <w:abstractNumId w:val="5"/>
  </w:num>
  <w:num w:numId="28" w16cid:durableId="1544364067">
    <w:abstractNumId w:val="24"/>
  </w:num>
  <w:num w:numId="29" w16cid:durableId="317000042">
    <w:abstractNumId w:val="1"/>
  </w:num>
  <w:num w:numId="30" w16cid:durableId="1067607049">
    <w:abstractNumId w:val="25"/>
  </w:num>
  <w:num w:numId="31" w16cid:durableId="184253386">
    <w:abstractNumId w:val="30"/>
  </w:num>
  <w:num w:numId="32" w16cid:durableId="258755794">
    <w:abstractNumId w:val="12"/>
  </w:num>
  <w:num w:numId="33" w16cid:durableId="1171094028">
    <w:abstractNumId w:val="18"/>
  </w:num>
  <w:num w:numId="34" w16cid:durableId="1159468276">
    <w:abstractNumId w:val="3"/>
  </w:num>
  <w:num w:numId="35" w16cid:durableId="1615357124">
    <w:abstractNumId w:val="36"/>
  </w:num>
  <w:num w:numId="36" w16cid:durableId="410127914">
    <w:abstractNumId w:val="10"/>
  </w:num>
  <w:num w:numId="37" w16cid:durableId="407578337">
    <w:abstractNumId w:val="11"/>
  </w:num>
  <w:num w:numId="38" w16cid:durableId="496963264">
    <w:abstractNumId w:val="37"/>
  </w:num>
  <w:num w:numId="39" w16cid:durableId="1184317354">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C6"/>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D5E"/>
    <w:rsid w:val="000F3E00"/>
    <w:rsid w:val="000F3EE5"/>
    <w:rsid w:val="000F3F1D"/>
    <w:rsid w:val="000F4069"/>
    <w:rsid w:val="000F40A3"/>
    <w:rsid w:val="000F4144"/>
    <w:rsid w:val="000F41D9"/>
    <w:rsid w:val="000F4257"/>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8B"/>
    <w:rsid w:val="00137FAA"/>
    <w:rsid w:val="00137FBB"/>
    <w:rsid w:val="00140032"/>
    <w:rsid w:val="00140047"/>
    <w:rsid w:val="001400D8"/>
    <w:rsid w:val="00140123"/>
    <w:rsid w:val="001402D1"/>
    <w:rsid w:val="0014034E"/>
    <w:rsid w:val="00140514"/>
    <w:rsid w:val="00140533"/>
    <w:rsid w:val="00140555"/>
    <w:rsid w:val="0014056E"/>
    <w:rsid w:val="001405A2"/>
    <w:rsid w:val="001405F7"/>
    <w:rsid w:val="00140616"/>
    <w:rsid w:val="00140622"/>
    <w:rsid w:val="00140624"/>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6E"/>
    <w:rsid w:val="00255410"/>
    <w:rsid w:val="002554F9"/>
    <w:rsid w:val="00255547"/>
    <w:rsid w:val="002555CE"/>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56"/>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7A"/>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0"/>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3F"/>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1D"/>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4EB"/>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1A"/>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0FBF"/>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9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4EC"/>
    <w:rsid w:val="008245DC"/>
    <w:rsid w:val="008245DF"/>
    <w:rsid w:val="00824626"/>
    <w:rsid w:val="008246A2"/>
    <w:rsid w:val="00824759"/>
    <w:rsid w:val="008247EB"/>
    <w:rsid w:val="00824802"/>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67"/>
    <w:rsid w:val="0095466D"/>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0"/>
    <w:rsid w:val="00992BA1"/>
    <w:rsid w:val="00992BCD"/>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BDB"/>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CAB"/>
    <w:rsid w:val="00B64E2F"/>
    <w:rsid w:val="00B64E43"/>
    <w:rsid w:val="00B64E5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4DD"/>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1D"/>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DD2"/>
    <w:rsid w:val="00D25E07"/>
    <w:rsid w:val="00D25EBD"/>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4"/>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6FE"/>
    <w:rsid w:val="00F837A2"/>
    <w:rsid w:val="00F83807"/>
    <w:rsid w:val="00F8380F"/>
    <w:rsid w:val="00F8383E"/>
    <w:rsid w:val="00F8392E"/>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in-juriscol.gov.co/viewDocument.asp?id=1684387"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uin-juriscol.gov.co/viewDocument.asp?ruta=Decretos%2F1833376"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in-juriscol.gov.co/viewDocument.asp?id=1665811" TargetMode="External"/><Relationship Id="rId5" Type="http://schemas.openxmlformats.org/officeDocument/2006/relationships/numbering" Target="numbering.xml"/><Relationship Id="rId15" Type="http://schemas.openxmlformats.org/officeDocument/2006/relationships/hyperlink" Target="https://www.suin-juriscol.gov.co/viewDocument.asp?ruta=Leyes%2F1827111"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in-juriscol.gov.co/viewDocument.asp?ruta=Leyes/16801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95FCCE-7170-42A6-882F-0270331A770D}">
  <ds:schemaRefs>
    <ds:schemaRef ds:uri="http://schemas.openxmlformats.org/officeDocument/2006/bibliography"/>
  </ds:schemaRefs>
</ds:datastoreItem>
</file>

<file path=customXml/itemProps2.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5C4B40-FB5D-47A6-A208-43ABCB607B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575</Words>
  <Characters>3168</Characters>
  <Application>Microsoft Office Word</Application>
  <DocSecurity>0</DocSecurity>
  <Lines>26</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3736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2023-08-07T18:22:00Z</dcterms:created>
  <dcterms:modified xsi:type="dcterms:W3CDTF">2023-08-07T18:22:00Z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