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DE718" w14:textId="1E301399" w:rsidR="006741E5" w:rsidRPr="006741E5" w:rsidRDefault="006741E5" w:rsidP="006741E5">
      <w:pPr>
        <w:keepNext/>
        <w:framePr w:dropCap="drop" w:lines="3" w:wrap="around" w:vAnchor="text" w:hAnchor="text"/>
        <w:spacing w:after="0" w:line="926" w:lineRule="exact"/>
        <w:textAlignment w:val="baseline"/>
        <w:rPr>
          <w:position w:val="-9"/>
          <w:sz w:val="123"/>
        </w:rPr>
      </w:pPr>
      <w:r w:rsidRPr="006741E5">
        <w:rPr>
          <w:position w:val="-9"/>
          <w:sz w:val="123"/>
        </w:rPr>
        <w:t>E</w:t>
      </w:r>
    </w:p>
    <w:p w14:paraId="374CB74D" w14:textId="41F7C7BD" w:rsidR="00521C62" w:rsidRDefault="00CD7017" w:rsidP="00CD7017">
      <w:r w:rsidRPr="00CD7017">
        <w:t>n</w:t>
      </w:r>
      <w:r>
        <w:t xml:space="preserve"> el artículo </w:t>
      </w:r>
      <w:hyperlink r:id="rId11" w:history="1">
        <w:r w:rsidRPr="00CD7017">
          <w:rPr>
            <w:rStyle w:val="Hipervnculo"/>
          </w:rPr>
          <w:t>How do institutional investors influence accounting conservatism in China?</w:t>
        </w:r>
      </w:hyperlink>
      <w:r w:rsidRPr="00CD7017">
        <w:t xml:space="preserve">, </w:t>
      </w:r>
      <w:r>
        <w:t>e</w:t>
      </w:r>
      <w:r w:rsidRPr="00CD7017">
        <w:t xml:space="preserve">scrito por </w:t>
      </w:r>
      <w:r>
        <w:t xml:space="preserve">Dan Zhang, Shiguang Ma, Xiaofei Pan, publicado </w:t>
      </w:r>
      <w:r w:rsidR="006741E5">
        <w:t xml:space="preserve">por </w:t>
      </w:r>
      <w:r w:rsidR="006741E5" w:rsidRPr="006741E5">
        <w:rPr>
          <w:i/>
          <w:iCs/>
        </w:rPr>
        <w:t>Accounting and Finance</w:t>
      </w:r>
      <w:r w:rsidR="006741E5">
        <w:t xml:space="preserve">, </w:t>
      </w:r>
      <w:r>
        <w:t xml:space="preserve">en </w:t>
      </w:r>
      <w:r w:rsidR="006741E5">
        <w:t xml:space="preserve">el </w:t>
      </w:r>
      <w:r>
        <w:t>Volume</w:t>
      </w:r>
      <w:r w:rsidR="006741E5">
        <w:t xml:space="preserve"> </w:t>
      </w:r>
      <w:r>
        <w:t>63, Issue</w:t>
      </w:r>
      <w:r w:rsidR="006741E5">
        <w:t xml:space="preserve"> </w:t>
      </w:r>
      <w:r>
        <w:t xml:space="preserve">S2, June 2023, Pages 2719-2754 </w:t>
      </w:r>
      <w:r w:rsidR="006741E5">
        <w:t>se concluye:</w:t>
      </w:r>
      <w:r>
        <w:t>“</w:t>
      </w:r>
      <w:r w:rsidRPr="006741E5">
        <w:rPr>
          <w:i/>
          <w:iCs/>
        </w:rPr>
        <w:t xml:space="preserve">Utilizando las empresas cotizadas de China de 2003 a 2015 como muestra y empleando el C_Score, desarrollado por Khan y Watts (2009) como el proxy del conservadurismo contable, comparamos los efectos que los fondos mutuos nacionales y los QFII tienen en el conservadurismo contable de las empresas. Nuestras principales conclusiones son las siguientes: en primer lugar, a diferencia del mercado estadounidense, los fondos mutuos nacionales influyen negativamente en el grado de conservadurismo contable, mientras que los QFII influyen positivamente en el nivel de conservadurismo contable. La razón es que, en comparación con los QFII, los fondos mutuos nacionales son más capaces de monitorear las acciones de los gerentes a través de otros mecanismos de monitoreo directo, como las visitas al sitio, por lo que dependen menos del conservadurismo contable para asegurar su inversión. En segundo lugar, cuando la propiedad de los inversores institucionales es cercana a la del accionista mayoritario, los efectos negativos de los fondos mutuos nacionales sobre el conservadurismo contable se hacen más fuertes. Por el contrario, cuando la propiedad de QFII es cercana a la de los accionistas mayoritarios, los efectos positivos de QFII en el conservadurismo contable son más fuertes. En tercer lugar, los efectos negativos de los fondos mutuos nacionales y los efectos </w:t>
      </w:r>
      <w:r w:rsidRPr="006741E5">
        <w:rPr>
          <w:i/>
          <w:iCs/>
        </w:rPr>
        <w:t>positivos de las QFII en el conservadurismo contable se hacen más fuertes cuando son más capaces de monitorear a los gerentes compitiendo con los accionistas controladores. En particular, encontramos evidencia empírica de que los efectos de los fondos mutuos nacionales y los QFII son más significativos en las empresas no estatales, empresas con un mayor nivel de concentración de propiedad, con una asimetría de información menos severa, sin directores ejecutivos políticamente conectados y que enfrentan una competencia de mercado más intensa. Los resultados son sólidos cuando se utilizan medidas alternativas de conservadurismo contable y después de abordar los problemas de endogeneidad.</w:t>
      </w:r>
      <w:r>
        <w:t>”</w:t>
      </w:r>
      <w:r w:rsidR="006741E5">
        <w:t xml:space="preserve"> </w:t>
      </w:r>
      <w:r w:rsidR="00A35D15">
        <w:t>Aquí se trata de cómo la contabilidad es un medio de defensa de los intereses económicos de los inversionistas. Y se plantea que la inspección es un instrumento tan efectivo como llevar una contabilidad en la que se aplique el conservadurismo. Este presiona para ir sobre seguro sin advertir que termina desconociendo la realidad económica. Sabemos que la verdad triunfa sobre la mentira. Que ésta induce a las personas a decir más mentiras, hasta que ya no hay como seguir haciéndolo. Como en la imagen de un débil palito versus un haz de palitos</w:t>
      </w:r>
      <w:r w:rsidR="00F2022B">
        <w:t>, que sirve para ilustrar que la unión hace la fuerza, de igual manera la unión de muchos débiles contadores se constituye en un muro altamente resistente, o en una grúa capaz de jalar grandes poblaciones, por lo que la profesión puede lograr altos niveles de defensa empresarial.</w:t>
      </w:r>
    </w:p>
    <w:p w14:paraId="7356E97E" w14:textId="3E91F778" w:rsidR="00F2022B" w:rsidRPr="00866E6F" w:rsidRDefault="00F2022B" w:rsidP="00F2022B">
      <w:pPr>
        <w:jc w:val="right"/>
      </w:pPr>
      <w:r w:rsidRPr="003C4ED4">
        <w:rPr>
          <w:i/>
          <w:iCs/>
        </w:rPr>
        <w:t>Hernando Bermúdez Gómez</w:t>
      </w:r>
    </w:p>
    <w:sectPr w:rsidR="00F2022B" w:rsidRPr="00866E6F"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D7FBB" w14:textId="77777777" w:rsidR="009E4D1C" w:rsidRDefault="009E4D1C" w:rsidP="00EE7812">
      <w:pPr>
        <w:spacing w:after="0" w:line="240" w:lineRule="auto"/>
      </w:pPr>
      <w:r>
        <w:separator/>
      </w:r>
    </w:p>
  </w:endnote>
  <w:endnote w:type="continuationSeparator" w:id="0">
    <w:p w14:paraId="598DCCFF" w14:textId="77777777" w:rsidR="009E4D1C" w:rsidRDefault="009E4D1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B515E" w14:textId="77777777" w:rsidR="009E4D1C" w:rsidRDefault="009E4D1C" w:rsidP="00EE7812">
      <w:pPr>
        <w:spacing w:after="0" w:line="240" w:lineRule="auto"/>
      </w:pPr>
      <w:r>
        <w:separator/>
      </w:r>
    </w:p>
  </w:footnote>
  <w:footnote w:type="continuationSeparator" w:id="0">
    <w:p w14:paraId="3C05AE84" w14:textId="77777777" w:rsidR="009E4D1C" w:rsidRDefault="009E4D1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0379D4DA" w14:textId="3AEC0A37"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254642">
      <w:t>4</w:t>
    </w:r>
    <w:r w:rsidR="004D323B">
      <w:t>3</w:t>
    </w:r>
    <w:r>
      <w:t>,</w:t>
    </w:r>
    <w:r w:rsidR="001E23A5">
      <w:t xml:space="preserve"> </w:t>
    </w:r>
    <w:r w:rsidR="00484B2F">
      <w:t>7</w:t>
    </w:r>
    <w:r w:rsidR="001E23A5">
      <w:t xml:space="preserve"> </w:t>
    </w:r>
    <w:r w:rsidR="009365CF">
      <w:t>de</w:t>
    </w:r>
    <w:r w:rsidR="001E23A5">
      <w:t xml:space="preserve"> </w:t>
    </w:r>
    <w:r w:rsidR="00484B2F">
      <w:t>agosto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45714194">
    <w:abstractNumId w:val="0"/>
  </w:num>
  <w:num w:numId="2" w16cid:durableId="203249992">
    <w:abstractNumId w:val="21"/>
  </w:num>
  <w:num w:numId="3" w16cid:durableId="326717408">
    <w:abstractNumId w:val="15"/>
  </w:num>
  <w:num w:numId="4" w16cid:durableId="787285470">
    <w:abstractNumId w:val="2"/>
  </w:num>
  <w:num w:numId="5" w16cid:durableId="1862161114">
    <w:abstractNumId w:val="20"/>
  </w:num>
  <w:num w:numId="6" w16cid:durableId="625282137">
    <w:abstractNumId w:val="35"/>
  </w:num>
  <w:num w:numId="7" w16cid:durableId="1183973377">
    <w:abstractNumId w:val="13"/>
  </w:num>
  <w:num w:numId="8" w16cid:durableId="1150561793">
    <w:abstractNumId w:val="33"/>
  </w:num>
  <w:num w:numId="9" w16cid:durableId="499394385">
    <w:abstractNumId w:val="38"/>
  </w:num>
  <w:num w:numId="10" w16cid:durableId="413746888">
    <w:abstractNumId w:val="4"/>
  </w:num>
  <w:num w:numId="11" w16cid:durableId="470027980">
    <w:abstractNumId w:val="6"/>
  </w:num>
  <w:num w:numId="12" w16cid:durableId="202862749">
    <w:abstractNumId w:val="19"/>
  </w:num>
  <w:num w:numId="13" w16cid:durableId="1060448279">
    <w:abstractNumId w:val="22"/>
  </w:num>
  <w:num w:numId="14" w16cid:durableId="1634290203">
    <w:abstractNumId w:val="32"/>
  </w:num>
  <w:num w:numId="15" w16cid:durableId="368846839">
    <w:abstractNumId w:val="9"/>
  </w:num>
  <w:num w:numId="16" w16cid:durableId="2107454141">
    <w:abstractNumId w:val="7"/>
  </w:num>
  <w:num w:numId="17" w16cid:durableId="458304289">
    <w:abstractNumId w:val="17"/>
  </w:num>
  <w:num w:numId="18" w16cid:durableId="1119569513">
    <w:abstractNumId w:val="31"/>
  </w:num>
  <w:num w:numId="19" w16cid:durableId="1869835139">
    <w:abstractNumId w:val="26"/>
  </w:num>
  <w:num w:numId="20" w16cid:durableId="1691640771">
    <w:abstractNumId w:val="8"/>
  </w:num>
  <w:num w:numId="21" w16cid:durableId="1775202459">
    <w:abstractNumId w:val="27"/>
  </w:num>
  <w:num w:numId="22" w16cid:durableId="55473849">
    <w:abstractNumId w:val="28"/>
  </w:num>
  <w:num w:numId="23" w16cid:durableId="1042293867">
    <w:abstractNumId w:val="29"/>
  </w:num>
  <w:num w:numId="24" w16cid:durableId="1257060862">
    <w:abstractNumId w:val="34"/>
  </w:num>
  <w:num w:numId="25" w16cid:durableId="54354501">
    <w:abstractNumId w:val="23"/>
  </w:num>
  <w:num w:numId="26" w16cid:durableId="671220503">
    <w:abstractNumId w:val="14"/>
  </w:num>
  <w:num w:numId="27" w16cid:durableId="1696082067">
    <w:abstractNumId w:val="5"/>
  </w:num>
  <w:num w:numId="28" w16cid:durableId="133373750">
    <w:abstractNumId w:val="24"/>
  </w:num>
  <w:num w:numId="29" w16cid:durableId="492719042">
    <w:abstractNumId w:val="1"/>
  </w:num>
  <w:num w:numId="30" w16cid:durableId="1117792321">
    <w:abstractNumId w:val="25"/>
  </w:num>
  <w:num w:numId="31" w16cid:durableId="781919920">
    <w:abstractNumId w:val="30"/>
  </w:num>
  <w:num w:numId="32" w16cid:durableId="1051685221">
    <w:abstractNumId w:val="12"/>
  </w:num>
  <w:num w:numId="33" w16cid:durableId="1255632681">
    <w:abstractNumId w:val="18"/>
  </w:num>
  <w:num w:numId="34" w16cid:durableId="1483960896">
    <w:abstractNumId w:val="3"/>
  </w:num>
  <w:num w:numId="35" w16cid:durableId="279649628">
    <w:abstractNumId w:val="36"/>
  </w:num>
  <w:num w:numId="36" w16cid:durableId="1987126140">
    <w:abstractNumId w:val="10"/>
  </w:num>
  <w:num w:numId="37" w16cid:durableId="1274050010">
    <w:abstractNumId w:val="11"/>
  </w:num>
  <w:num w:numId="38" w16cid:durableId="2037922980">
    <w:abstractNumId w:val="37"/>
  </w:num>
  <w:num w:numId="39" w16cid:durableId="96712562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54"/>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1C"/>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44"/>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hdobe\Dropbox\Mi%20PC%20(LAPTOP-SSPTUC37)\Documents\hbg\borradorescontrapartida\doi.org\10.1111\acfi.1299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CE3CC7-3166-4556-9559-A20FE3421E3E}">
  <ds:schemaRefs>
    <ds:schemaRef ds:uri="http://schemas.openxmlformats.org/officeDocument/2006/bibliography"/>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2791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2023-08-07T18:43:00Z</dcterms:created>
  <dcterms:modified xsi:type="dcterms:W3CDTF">2023-08-07T18:43:00Z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