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486AF" w14:textId="507C40E7" w:rsidR="004A4290" w:rsidRPr="004A4290" w:rsidRDefault="004A4290" w:rsidP="004A4290">
      <w:pPr>
        <w:keepNext/>
        <w:framePr w:dropCap="drop" w:lines="3" w:wrap="around" w:vAnchor="text" w:hAnchor="text"/>
        <w:spacing w:after="0" w:line="926" w:lineRule="exact"/>
        <w:textAlignment w:val="baseline"/>
        <w:rPr>
          <w:position w:val="-8"/>
          <w:sz w:val="122"/>
        </w:rPr>
      </w:pPr>
      <w:r w:rsidRPr="004A4290">
        <w:rPr>
          <w:position w:val="-8"/>
          <w:sz w:val="122"/>
        </w:rPr>
        <w:t>A</w:t>
      </w:r>
    </w:p>
    <w:p w14:paraId="3C3FF46B" w14:textId="4A21669F" w:rsidR="00972BBB" w:rsidRDefault="004A4290" w:rsidP="004A4290">
      <w:r>
        <w:t xml:space="preserve">l culminar el artículo </w:t>
      </w:r>
      <w:hyperlink r:id="rId11" w:history="1">
        <w:r w:rsidRPr="004A4290">
          <w:rPr>
            <w:rStyle w:val="Hipervnculo"/>
          </w:rPr>
          <w:t>Ted's Teas: A Two-Part Accounting and Audit “Crossover Case”</w:t>
        </w:r>
      </w:hyperlink>
      <w:r w:rsidRPr="004A4290">
        <w:t xml:space="preserve">, escrito por Samantha Taylor, Poppy Riddle, Tammy Crowell, Ana Bullock, Kyla Chisholm, publicado por </w:t>
      </w:r>
      <w:r w:rsidRPr="004A4290">
        <w:rPr>
          <w:i/>
          <w:iCs/>
        </w:rPr>
        <w:t>Accounting Perspectives</w:t>
      </w:r>
      <w:r w:rsidRPr="004A4290">
        <w:t>, Volume22, Issue2, June 2023, Pages 195-207</w:t>
      </w:r>
      <w:r w:rsidR="000E3CB9">
        <w:t xml:space="preserve">, se lee: </w:t>
      </w:r>
      <w:r>
        <w:t>“</w:t>
      </w:r>
      <w:r w:rsidRPr="000E3CB9">
        <w:rPr>
          <w:i/>
          <w:iCs/>
        </w:rPr>
        <w:t xml:space="preserve">La siguiente es una lista de consejos y sugerencias que puede utilizar para elaborar su respuesta: ―Aunque puede ser tentador saltar a su análisis, debe maximizar su demostración de habilidades de comunicación profesional y "evaluar" la situación brevemente en una o dos oraciones antes de comenzar su análisis. ―Al analizar los factores de riesgo de OFSL, podría usar el formato qué + por qué, dónde qué describe el hecho del caso y si aumenta o disminuye el riesgo de OFSL, y por qué comunica la justificación que respalda qué. (Tenga en cuenta que en realidad no tendría las palabras "qué" o "por qué" en su análisis). ―A veces hay dos conclusiones. Antes de enviar su respuesta, debe dar un paso atrás y asegurarse de haber proporcionado una conclusión clara para cada uno de los requisitos anteriores. Separar múltiples conclusiones, cuando corresponda, puede garantizar que aborde adecuadamente al usuario y sus necesidades, en lugar de implicarlas tocando una conclusión y quizás abordando ligeramente la otra. ―Los riesgos a nivel de cuenta podrían identificarse utilizando los hechos del caso y describiendo qué tipo de riesgo son (afirmaciones) antes de escribir el procedimiento para probar ese riesgo. ―Los procedimientos deben realizarse a un nivel que un auditor subalterno pueda realizar sin supervisión. Al leer sus procedimientos, considere lo que </w:t>
      </w:r>
      <w:r w:rsidRPr="000E3CB9">
        <w:rPr>
          <w:i/>
          <w:iCs/>
        </w:rPr>
        <w:t>sucedería si se los diera a un auditor junior para que los realizara sin supervisión en el cliente. ¿Qué tipo de trabajo podrías esperar recibir? ―Considere terminar cada procedimiento con una explicación de por qué su procedimiento sugerido abordará el riesgo a nivel de cuenta que identificó</w:t>
      </w:r>
      <w:r>
        <w:t>.”</w:t>
      </w:r>
      <w:r w:rsidR="000E3CB9">
        <w:t xml:space="preserve"> Definitivamente los casos son muy útiles para hacer que los estudiantes pongan en juego muchos conocimientos, habilidades y actitudes. Los consejos son muy apropiados para hacer que el alumno se desempeñe al nivel que se espera de él. Varios de los datos son reales, lo que aporta la complejidad de la realidad. Es </w:t>
      </w:r>
      <w:r w:rsidR="00E8675A">
        <w:t>difícil</w:t>
      </w:r>
      <w:r w:rsidR="000E3CB9">
        <w:t xml:space="preserve"> desarrollar un caso y su solución puede tomar un tiempo importante respecto de las horas de clase. La lectura previa es un instrumento necesario, que abre las posibilidades a los casos. Aunque no son tantos como en otras jurisdicciones, en Colombia contamos con amplios documentos</w:t>
      </w:r>
      <w:r w:rsidR="00E8675A">
        <w:t>,</w:t>
      </w:r>
      <w:r w:rsidR="000E3CB9">
        <w:t xml:space="preserve"> que pueden ser fundamentos suficientes para preparar varios casos con el propósito de enseñar.</w:t>
      </w:r>
      <w:r w:rsidR="007544A3">
        <w:t xml:space="preserve"> Más aún: muchas de las preguntas presentadas a los órganos de la profesión responden a realidades respecto de las cuales convendría oír el concepto de los estudiantes, luego de un tiempo para preparar su respuesta. Posiblemente la famosa cátedra puede ser útil para las introducciones o propedéuticas, pero se requiere de ciertas actividades distintas para desarrollar el análisis y el ahora llamado pensamiento crítico.</w:t>
      </w:r>
      <w:r w:rsidR="00E8675A">
        <w:t xml:space="preserve"> Siempre debemos recordar que la contabilidad implica pensar. Analizar y juzgar son acciones siempre presentes, respecto de las cuales hay que formar a los estudiantes.</w:t>
      </w:r>
    </w:p>
    <w:p w14:paraId="67522177" w14:textId="1CFE2C64" w:rsidR="00E8675A" w:rsidRPr="00101B6B" w:rsidRDefault="00E8675A" w:rsidP="00E8675A">
      <w:pPr>
        <w:jc w:val="right"/>
      </w:pPr>
      <w:r w:rsidRPr="003C4ED4">
        <w:rPr>
          <w:i/>
          <w:iCs/>
        </w:rPr>
        <w:t>Hernando Bermúdez Gómez</w:t>
      </w:r>
    </w:p>
    <w:sectPr w:rsidR="00E8675A" w:rsidRPr="00101B6B"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0290E" w14:textId="77777777" w:rsidR="00A16E17" w:rsidRDefault="00A16E17" w:rsidP="00EE7812">
      <w:pPr>
        <w:spacing w:after="0" w:line="240" w:lineRule="auto"/>
      </w:pPr>
      <w:r>
        <w:separator/>
      </w:r>
    </w:p>
  </w:endnote>
  <w:endnote w:type="continuationSeparator" w:id="0">
    <w:p w14:paraId="7D0F70C4" w14:textId="77777777" w:rsidR="00A16E17" w:rsidRDefault="00A16E1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A4941" w14:textId="77777777" w:rsidR="00A16E17" w:rsidRDefault="00A16E17" w:rsidP="00EE7812">
      <w:pPr>
        <w:spacing w:after="0" w:line="240" w:lineRule="auto"/>
      </w:pPr>
      <w:r>
        <w:separator/>
      </w:r>
    </w:p>
  </w:footnote>
  <w:footnote w:type="continuationSeparator" w:id="0">
    <w:p w14:paraId="4BA9E054" w14:textId="77777777" w:rsidR="00A16E17" w:rsidRDefault="00A16E1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r>
      <w:t>Computationis</w:t>
    </w:r>
    <w:r w:rsidR="001E23A5">
      <w:t xml:space="preserve"> </w:t>
    </w:r>
    <w:r>
      <w:t>Jure</w:t>
    </w:r>
    <w:r w:rsidR="001E23A5">
      <w:t xml:space="preserve"> </w:t>
    </w:r>
    <w:r>
      <w:t>Opiniones</w:t>
    </w:r>
  </w:p>
  <w:p w14:paraId="0379D4DA" w14:textId="5450FF0D"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5A74E8">
      <w:t>5</w:t>
    </w:r>
    <w:r w:rsidR="00F776BC">
      <w:t>5</w:t>
    </w:r>
    <w:r w:rsidR="000F4AF1">
      <w:t>4</w:t>
    </w:r>
    <w:r>
      <w:t>,</w:t>
    </w:r>
    <w:r w:rsidR="001E23A5">
      <w:t xml:space="preserve"> </w:t>
    </w:r>
    <w:r w:rsidR="003E0915">
      <w:t>14</w:t>
    </w:r>
    <w:r w:rsidR="001E23A5">
      <w:t xml:space="preserve"> </w:t>
    </w:r>
    <w:r w:rsidR="009365CF">
      <w:t>de</w:t>
    </w:r>
    <w:r w:rsidR="001E23A5">
      <w:t xml:space="preserve"> </w:t>
    </w:r>
    <w:r w:rsidR="00484B2F">
      <w:t>agosto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73846014">
    <w:abstractNumId w:val="0"/>
  </w:num>
  <w:num w:numId="2" w16cid:durableId="1315065409">
    <w:abstractNumId w:val="21"/>
  </w:num>
  <w:num w:numId="3" w16cid:durableId="609627741">
    <w:abstractNumId w:val="15"/>
  </w:num>
  <w:num w:numId="4" w16cid:durableId="56176533">
    <w:abstractNumId w:val="2"/>
  </w:num>
  <w:num w:numId="5" w16cid:durableId="1539313989">
    <w:abstractNumId w:val="20"/>
  </w:num>
  <w:num w:numId="6" w16cid:durableId="843785723">
    <w:abstractNumId w:val="35"/>
  </w:num>
  <w:num w:numId="7" w16cid:durableId="246814401">
    <w:abstractNumId w:val="13"/>
  </w:num>
  <w:num w:numId="8" w16cid:durableId="564485259">
    <w:abstractNumId w:val="33"/>
  </w:num>
  <w:num w:numId="9" w16cid:durableId="1622223010">
    <w:abstractNumId w:val="38"/>
  </w:num>
  <w:num w:numId="10" w16cid:durableId="1156844304">
    <w:abstractNumId w:val="4"/>
  </w:num>
  <w:num w:numId="11" w16cid:durableId="556166653">
    <w:abstractNumId w:val="6"/>
  </w:num>
  <w:num w:numId="12" w16cid:durableId="1998996973">
    <w:abstractNumId w:val="19"/>
  </w:num>
  <w:num w:numId="13" w16cid:durableId="847599847">
    <w:abstractNumId w:val="22"/>
  </w:num>
  <w:num w:numId="14" w16cid:durableId="1114472428">
    <w:abstractNumId w:val="32"/>
  </w:num>
  <w:num w:numId="15" w16cid:durableId="1062488028">
    <w:abstractNumId w:val="9"/>
  </w:num>
  <w:num w:numId="16" w16cid:durableId="1244877108">
    <w:abstractNumId w:val="7"/>
  </w:num>
  <w:num w:numId="17" w16cid:durableId="461653427">
    <w:abstractNumId w:val="17"/>
  </w:num>
  <w:num w:numId="18" w16cid:durableId="555700949">
    <w:abstractNumId w:val="31"/>
  </w:num>
  <w:num w:numId="19" w16cid:durableId="1371758080">
    <w:abstractNumId w:val="26"/>
  </w:num>
  <w:num w:numId="20" w16cid:durableId="70930947">
    <w:abstractNumId w:val="8"/>
  </w:num>
  <w:num w:numId="21" w16cid:durableId="1390225711">
    <w:abstractNumId w:val="27"/>
  </w:num>
  <w:num w:numId="22" w16cid:durableId="608050297">
    <w:abstractNumId w:val="28"/>
  </w:num>
  <w:num w:numId="23" w16cid:durableId="1708799192">
    <w:abstractNumId w:val="29"/>
  </w:num>
  <w:num w:numId="24" w16cid:durableId="995450533">
    <w:abstractNumId w:val="34"/>
  </w:num>
  <w:num w:numId="25" w16cid:durableId="617445676">
    <w:abstractNumId w:val="23"/>
  </w:num>
  <w:num w:numId="26" w16cid:durableId="1340307336">
    <w:abstractNumId w:val="14"/>
  </w:num>
  <w:num w:numId="27" w16cid:durableId="697119775">
    <w:abstractNumId w:val="5"/>
  </w:num>
  <w:num w:numId="28" w16cid:durableId="1754623890">
    <w:abstractNumId w:val="24"/>
  </w:num>
  <w:num w:numId="29" w16cid:durableId="1312172366">
    <w:abstractNumId w:val="1"/>
  </w:num>
  <w:num w:numId="30" w16cid:durableId="1620649744">
    <w:abstractNumId w:val="25"/>
  </w:num>
  <w:num w:numId="31" w16cid:durableId="2061592846">
    <w:abstractNumId w:val="30"/>
  </w:num>
  <w:num w:numId="32" w16cid:durableId="671882507">
    <w:abstractNumId w:val="12"/>
  </w:num>
  <w:num w:numId="33" w16cid:durableId="1708023581">
    <w:abstractNumId w:val="18"/>
  </w:num>
  <w:num w:numId="34" w16cid:durableId="1769040519">
    <w:abstractNumId w:val="3"/>
  </w:num>
  <w:num w:numId="35" w16cid:durableId="375392346">
    <w:abstractNumId w:val="36"/>
  </w:num>
  <w:num w:numId="36" w16cid:durableId="1540318891">
    <w:abstractNumId w:val="10"/>
  </w:num>
  <w:num w:numId="37" w16cid:durableId="246430113">
    <w:abstractNumId w:val="11"/>
  </w:num>
  <w:num w:numId="38" w16cid:durableId="871114528">
    <w:abstractNumId w:val="37"/>
  </w:num>
  <w:num w:numId="39" w16cid:durableId="785541669">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D5E"/>
    <w:rsid w:val="000F3E00"/>
    <w:rsid w:val="000F3EE5"/>
    <w:rsid w:val="000F3F1D"/>
    <w:rsid w:val="000F4069"/>
    <w:rsid w:val="000F40A3"/>
    <w:rsid w:val="000F4144"/>
    <w:rsid w:val="000F41D9"/>
    <w:rsid w:val="000F4257"/>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775"/>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17"/>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56"/>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7A"/>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3F"/>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76"/>
    <w:rsid w:val="0039399D"/>
    <w:rsid w:val="003939A4"/>
    <w:rsid w:val="003939CD"/>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1D"/>
    <w:rsid w:val="003A4034"/>
    <w:rsid w:val="003A4219"/>
    <w:rsid w:val="003A4347"/>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D9"/>
    <w:rsid w:val="004645FF"/>
    <w:rsid w:val="00464660"/>
    <w:rsid w:val="004646E0"/>
    <w:rsid w:val="004647DF"/>
    <w:rsid w:val="004647E3"/>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4EB"/>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3B"/>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149"/>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1A"/>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4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0F8A"/>
    <w:rsid w:val="00790FBF"/>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4EC"/>
    <w:rsid w:val="008245DC"/>
    <w:rsid w:val="008245DF"/>
    <w:rsid w:val="00824626"/>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166"/>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0"/>
    <w:rsid w:val="00992BA1"/>
    <w:rsid w:val="00992BCD"/>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17"/>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BDB"/>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76"/>
    <w:rsid w:val="00B42FB1"/>
    <w:rsid w:val="00B4301B"/>
    <w:rsid w:val="00B4307E"/>
    <w:rsid w:val="00B4309F"/>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CAB"/>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7E"/>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1D"/>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47"/>
    <w:rsid w:val="00DE2DD1"/>
    <w:rsid w:val="00DE2DF0"/>
    <w:rsid w:val="00DE2E63"/>
    <w:rsid w:val="00DE2EA5"/>
    <w:rsid w:val="00DE2ECA"/>
    <w:rsid w:val="00DE2EF5"/>
    <w:rsid w:val="00DE2F31"/>
    <w:rsid w:val="00DE2FAA"/>
    <w:rsid w:val="00DE3004"/>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ADB"/>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B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hdobe\Dropbox\Mi%20PC%20(LAPTOP-SSPTUC37)\Documents\hbg\borradorescontrapartida\doi.org\10.1111\1911-3838.12334"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29FD9D26-251E-454F-8276-860FDD735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520</Words>
  <Characters>2861</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3375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2023-08-13T15:08:00Z</dcterms:created>
  <dcterms:modified xsi:type="dcterms:W3CDTF">2023-08-13T15:08:00Z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