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10ADB" w14:textId="4ACDA4C5" w:rsidR="00FE3504" w:rsidRPr="00FE3504" w:rsidRDefault="00FE3504" w:rsidP="00FE3504">
      <w:pPr>
        <w:keepNext/>
        <w:framePr w:dropCap="drop" w:lines="3" w:wrap="around" w:vAnchor="text" w:hAnchor="text"/>
        <w:spacing w:after="0" w:line="926" w:lineRule="exact"/>
        <w:textAlignment w:val="baseline"/>
        <w:rPr>
          <w:position w:val="-9"/>
          <w:sz w:val="123"/>
          <w:lang w:val="en-US"/>
        </w:rPr>
      </w:pPr>
      <w:r w:rsidRPr="00FE3504">
        <w:rPr>
          <w:position w:val="-9"/>
          <w:sz w:val="123"/>
          <w:lang w:val="en-US"/>
        </w:rPr>
        <w:t>E</w:t>
      </w:r>
    </w:p>
    <w:p w14:paraId="29DBEAEC" w14:textId="4FA0B851" w:rsidR="00EF3BBB" w:rsidRDefault="00FE3504" w:rsidP="00FE3504">
      <w:r>
        <w:rPr>
          <w:lang w:val="en-US"/>
        </w:rPr>
        <w:t xml:space="preserve">n </w:t>
      </w:r>
      <w:r w:rsidRPr="00FE3504">
        <w:rPr>
          <w:i/>
          <w:iCs/>
          <w:lang w:val="en-US"/>
        </w:rPr>
        <w:t>Moving Forward on Non-CPA Ownership in New York</w:t>
      </w:r>
      <w:r>
        <w:rPr>
          <w:lang w:val="en-US"/>
        </w:rPr>
        <w:t xml:space="preserve">,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r w:rsidRPr="00FE3504">
        <w:rPr>
          <w:lang w:val="en-US"/>
        </w:rPr>
        <w:t>Harris, Calvin, Jr. </w:t>
      </w:r>
      <w:r>
        <w:rPr>
          <w:lang w:val="en-US"/>
        </w:rPr>
        <w:t xml:space="preserve">, </w:t>
      </w:r>
      <w:proofErr w:type="spellStart"/>
      <w:r>
        <w:rPr>
          <w:lang w:val="en-US"/>
        </w:rPr>
        <w:t>publicado</w:t>
      </w:r>
      <w:proofErr w:type="spellEnd"/>
      <w:r>
        <w:rPr>
          <w:lang w:val="en-US"/>
        </w:rPr>
        <w:t xml:space="preserve"> </w:t>
      </w:r>
      <w:proofErr w:type="spellStart"/>
      <w:r>
        <w:rPr>
          <w:lang w:val="en-US"/>
        </w:rPr>
        <w:t>por</w:t>
      </w:r>
      <w:proofErr w:type="spellEnd"/>
      <w:r w:rsidRPr="00FE3504">
        <w:rPr>
          <w:lang w:val="en-US"/>
        </w:rPr>
        <w:t xml:space="preserve"> </w:t>
      </w:r>
      <w:r w:rsidRPr="00FE3504">
        <w:rPr>
          <w:i/>
          <w:iCs/>
          <w:lang w:val="en-US"/>
        </w:rPr>
        <w:t>The CPA Journal</w:t>
      </w:r>
      <w:r w:rsidRPr="00FE3504">
        <w:rPr>
          <w:lang w:val="en-US"/>
        </w:rPr>
        <w:t xml:space="preserve">; New York </w:t>
      </w:r>
      <w:proofErr w:type="spellStart"/>
      <w:r w:rsidRPr="00FE3504">
        <w:rPr>
          <w:lang w:val="en-US"/>
        </w:rPr>
        <w:t>Tomo</w:t>
      </w:r>
      <w:proofErr w:type="spellEnd"/>
      <w:r w:rsidRPr="00FE3504">
        <w:rPr>
          <w:lang w:val="en-US"/>
        </w:rPr>
        <w:t xml:space="preserve"> 93, N.º 5/6, (May/Jun 2023): 5</w:t>
      </w:r>
      <w:r>
        <w:rPr>
          <w:lang w:val="en-US"/>
        </w:rPr>
        <w:t>, se lee:</w:t>
      </w:r>
      <w:r w:rsidRPr="00FE3504">
        <w:rPr>
          <w:lang w:val="en-US"/>
        </w:rPr>
        <w:t xml:space="preserve"> “(…) </w:t>
      </w:r>
      <w:r w:rsidRPr="00FE3504">
        <w:rPr>
          <w:i/>
          <w:iCs/>
          <w:lang w:val="en-US"/>
        </w:rPr>
        <w:t xml:space="preserve">This year, after a push that has gone on for more than a decade, the New York State Legislature has overwhelmingly approved a bill that would permit </w:t>
      </w:r>
      <w:proofErr w:type="spellStart"/>
      <w:r w:rsidRPr="00FE3504">
        <w:rPr>
          <w:i/>
          <w:iCs/>
          <w:lang w:val="en-US"/>
        </w:rPr>
        <w:t>nonCPA</w:t>
      </w:r>
      <w:proofErr w:type="spellEnd"/>
      <w:r w:rsidRPr="00FE3504">
        <w:rPr>
          <w:i/>
          <w:iCs/>
          <w:lang w:val="en-US"/>
        </w:rPr>
        <w:t xml:space="preserve"> ownership of CPA firms (A.4189/S.2473A). The bill passed unanimously in the Assembly (Y: 144/N: 0) and overwhelmingly in the Senate (Y: 59/N: 2). I am quite proud to have overseen the final movement on this bill, especially during just my first year as Chief Executive Officer.</w:t>
      </w:r>
      <w:r w:rsidRPr="00FE3504">
        <w:rPr>
          <w:i/>
          <w:iCs/>
          <w:lang w:val="en-US"/>
        </w:rPr>
        <w:t xml:space="preserve"> ―</w:t>
      </w:r>
      <w:r w:rsidRPr="00FE3504">
        <w:rPr>
          <w:i/>
          <w:iCs/>
          <w:lang w:val="en-US"/>
        </w:rPr>
        <w:t>Why do I consider this legislation such a positive development for CPAs? Because it provides options that currently do not exist.</w:t>
      </w:r>
      <w:r w:rsidRPr="00FE3504">
        <w:rPr>
          <w:i/>
          <w:iCs/>
          <w:lang w:val="en-US"/>
        </w:rPr>
        <w:t xml:space="preserve"> ―</w:t>
      </w:r>
      <w:r w:rsidRPr="00FE3504">
        <w:rPr>
          <w:i/>
          <w:iCs/>
          <w:lang w:val="en-US"/>
        </w:rPr>
        <w:t xml:space="preserve">To reflect, "non-CPA ownership" allows non-CPAs to have an ownership interest in a CPA firm. Under the bill as passed by the legislature, a CPA firm would only need to have a "simple majority" of its owners to be licensed CPAs. Currently, in New York State, </w:t>
      </w:r>
      <w:proofErr w:type="gramStart"/>
      <w:r w:rsidRPr="00FE3504">
        <w:rPr>
          <w:i/>
          <w:iCs/>
          <w:lang w:val="en-US"/>
        </w:rPr>
        <w:t>all of</w:t>
      </w:r>
      <w:proofErr w:type="gramEnd"/>
      <w:r w:rsidRPr="00FE3504">
        <w:rPr>
          <w:i/>
          <w:iCs/>
          <w:lang w:val="en-US"/>
        </w:rPr>
        <w:t xml:space="preserve"> the owners of CPA firm must be CPAs. But with other states offering a simple majority option, New York State has been at a disadvantage.</w:t>
      </w:r>
      <w:r w:rsidRPr="00FE3504">
        <w:rPr>
          <w:i/>
          <w:iCs/>
          <w:lang w:val="en-US"/>
        </w:rPr>
        <w:t xml:space="preserve"> ―</w:t>
      </w:r>
      <w:r w:rsidRPr="00FE3504">
        <w:rPr>
          <w:i/>
          <w:iCs/>
          <w:lang w:val="en-US"/>
        </w:rPr>
        <w:t>From our smallest CPA firm to the largest multinational firm, non-CPA ownership provides various benefits that would not be possible under the existing regulatory regime. The bill would allow other professionals, such as engineers or economists, to have an ownership stake in a CPA firm of any size-so long as this simple majority of owners are CPAs. This provides new opportunities for CPA firms to attract investment through ownership interest as well as for long-term succession planning.</w:t>
      </w:r>
      <w:r w:rsidRPr="00FE3504">
        <w:rPr>
          <w:i/>
          <w:iCs/>
          <w:lang w:val="en-US"/>
        </w:rPr>
        <w:t xml:space="preserve"> ―</w:t>
      </w:r>
      <w:r w:rsidRPr="00FE3504">
        <w:rPr>
          <w:i/>
          <w:iCs/>
          <w:lang w:val="en-US"/>
        </w:rPr>
        <w:t xml:space="preserve">It is also worth noting that </w:t>
      </w:r>
      <w:proofErr w:type="spellStart"/>
      <w:r w:rsidRPr="00FE3504">
        <w:rPr>
          <w:i/>
          <w:iCs/>
          <w:lang w:val="en-US"/>
        </w:rPr>
        <w:t>nonCPA</w:t>
      </w:r>
      <w:proofErr w:type="spellEnd"/>
      <w:r w:rsidRPr="00FE3504">
        <w:rPr>
          <w:i/>
          <w:iCs/>
          <w:lang w:val="en-US"/>
        </w:rPr>
        <w:t xml:space="preserve"> </w:t>
      </w:r>
      <w:r w:rsidRPr="00FE3504">
        <w:rPr>
          <w:i/>
          <w:iCs/>
          <w:lang w:val="en-US"/>
        </w:rPr>
        <w:t xml:space="preserve">ownership is not required in any way. If you are a CPA firm owner and are happy with your mix of partners, nothing </w:t>
      </w:r>
      <w:proofErr w:type="gramStart"/>
      <w:r w:rsidRPr="00FE3504">
        <w:rPr>
          <w:i/>
          <w:iCs/>
          <w:lang w:val="en-US"/>
        </w:rPr>
        <w:t>has to</w:t>
      </w:r>
      <w:proofErr w:type="gramEnd"/>
      <w:r w:rsidRPr="00FE3504">
        <w:rPr>
          <w:i/>
          <w:iCs/>
          <w:lang w:val="en-US"/>
        </w:rPr>
        <w:t xml:space="preserve"> change.</w:t>
      </w:r>
      <w:r>
        <w:rPr>
          <w:lang w:val="en-US"/>
        </w:rPr>
        <w:t xml:space="preserve"> </w:t>
      </w:r>
      <w:r w:rsidRPr="00FE3504">
        <w:t>(…)” Interesante discusión. ¿Deben las firmas dedicadas a la prestación de s</w:t>
      </w:r>
      <w:r>
        <w:t>ervicios contables, ser de propiedad de estos profesionales? ¿Pueden ser de cualquier persona que invierta el capital necesario, siempre que cada trabajo esté bajo el cuidado de un contador y sea desarrollado con observancia de las obligaciones propias de estos? ¿Se requiere que los contadores posean una mayoría que les permite adoptar cualquier decisión (entre 80 y el 100%) o basta que controlen la mayoría simple (50% + 1)? ¿O deben poseer la mayoría ordinaria que determinen la ley o los estatutos? (por ejemplo 51%) Al mismo tiempo, ¿pueden tener un objeto indeterminado? ¿</w:t>
      </w:r>
      <w:r w:rsidR="00450E98">
        <w:t>deben tener un objeto exclusivo, es decir, solo actos profesionales? O ¿pueden realizar actos que sean o no profesionales?</w:t>
      </w:r>
      <w:r>
        <w:t xml:space="preserve"> </w:t>
      </w:r>
      <w:r w:rsidR="00450E98">
        <w:t>Muchos pueden estar de acuerdo en que se pueda acoger cualquier tipo social y cualquier tipo de objeto, siempre que los contadores sean los que tomen todas las decisiones. Otros, más amplios, solo exigen que los contadores tomen las decisiones relacionadas con los servicios contables. Pensamos que es necesario permitir que las firmas prestadoras de servicios contables reúnan el capital que deseen para prestar los respectivos servicios. Es necesario que la práctica crezca y pueda prestar servicios a cualquier grupo o entidad que lo solicite.</w:t>
      </w:r>
      <w:r w:rsidR="00F20704">
        <w:t xml:space="preserve"> Pensamos que los servicios contables deben confiarse a la dirección y control de contadores públicos y todos deben someterse a las reglas de éstos.</w:t>
      </w:r>
    </w:p>
    <w:p w14:paraId="1D1D8AC0" w14:textId="3F7411E1" w:rsidR="00F20704" w:rsidRPr="00FE3504" w:rsidRDefault="00F20704" w:rsidP="00F20704">
      <w:pPr>
        <w:jc w:val="right"/>
      </w:pPr>
      <w:r w:rsidRPr="003C4ED4">
        <w:rPr>
          <w:i/>
          <w:iCs/>
        </w:rPr>
        <w:t>Hernando Bermúdez Gómez</w:t>
      </w:r>
    </w:p>
    <w:sectPr w:rsidR="00F20704" w:rsidRPr="00FE3504" w:rsidSect="00586137">
      <w:headerReference w:type="even" r:id="rId11"/>
      <w:headerReference w:type="default" r:id="rId12"/>
      <w:footerReference w:type="even" r:id="rId13"/>
      <w:footerReference w:type="default" r:id="rId14"/>
      <w:headerReference w:type="first" r:id="rId15"/>
      <w:footerReference w:type="firs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24E8E" w14:textId="77777777" w:rsidR="00BF56AF" w:rsidRDefault="00BF56AF" w:rsidP="00EE7812">
      <w:pPr>
        <w:spacing w:after="0" w:line="240" w:lineRule="auto"/>
      </w:pPr>
      <w:r>
        <w:separator/>
      </w:r>
    </w:p>
  </w:endnote>
  <w:endnote w:type="continuationSeparator" w:id="0">
    <w:p w14:paraId="0611440C" w14:textId="77777777" w:rsidR="00BF56AF" w:rsidRDefault="00BF56A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5B53" w14:textId="77777777" w:rsidR="003F3171" w:rsidRDefault="003F317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2EF03" w14:textId="77777777" w:rsidR="003F3171" w:rsidRDefault="003F317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E8369" w14:textId="77777777" w:rsidR="00BF56AF" w:rsidRDefault="00BF56AF" w:rsidP="00EE7812">
      <w:pPr>
        <w:spacing w:after="0" w:line="240" w:lineRule="auto"/>
      </w:pPr>
      <w:r>
        <w:separator/>
      </w:r>
    </w:p>
  </w:footnote>
  <w:footnote w:type="continuationSeparator" w:id="0">
    <w:p w14:paraId="1DE1D8AA" w14:textId="77777777" w:rsidR="00BF56AF" w:rsidRDefault="00BF56A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A9EC0" w14:textId="77777777" w:rsidR="003F3171" w:rsidRDefault="003F317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3FC1AE71"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7F575F">
      <w:t>73</w:t>
    </w:r>
    <w:r>
      <w:t>,</w:t>
    </w:r>
    <w:r w:rsidR="001E23A5">
      <w:t xml:space="preserve"> </w:t>
    </w:r>
    <w:r w:rsidR="00A075FD">
      <w:t>21</w:t>
    </w:r>
    <w:r w:rsidR="001E23A5">
      <w:t xml:space="preserve"> </w:t>
    </w:r>
    <w:r w:rsidR="009365CF">
      <w:t>de</w:t>
    </w:r>
    <w:r w:rsidR="001E23A5">
      <w:t xml:space="preserve"> </w:t>
    </w:r>
    <w:r w:rsidR="00484B2F">
      <w:t>agosto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3AA3E" w14:textId="77777777" w:rsidR="003F3171" w:rsidRDefault="003F317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994263210">
    <w:abstractNumId w:val="0"/>
  </w:num>
  <w:num w:numId="2" w16cid:durableId="673384513">
    <w:abstractNumId w:val="21"/>
  </w:num>
  <w:num w:numId="3" w16cid:durableId="1877035231">
    <w:abstractNumId w:val="15"/>
  </w:num>
  <w:num w:numId="4" w16cid:durableId="734934655">
    <w:abstractNumId w:val="2"/>
  </w:num>
  <w:num w:numId="5" w16cid:durableId="1706635308">
    <w:abstractNumId w:val="20"/>
  </w:num>
  <w:num w:numId="6" w16cid:durableId="1813206910">
    <w:abstractNumId w:val="35"/>
  </w:num>
  <w:num w:numId="7" w16cid:durableId="1195189920">
    <w:abstractNumId w:val="13"/>
  </w:num>
  <w:num w:numId="8" w16cid:durableId="555707049">
    <w:abstractNumId w:val="33"/>
  </w:num>
  <w:num w:numId="9" w16cid:durableId="1759447055">
    <w:abstractNumId w:val="38"/>
  </w:num>
  <w:num w:numId="10" w16cid:durableId="1193806307">
    <w:abstractNumId w:val="4"/>
  </w:num>
  <w:num w:numId="11" w16cid:durableId="1932884095">
    <w:abstractNumId w:val="6"/>
  </w:num>
  <w:num w:numId="12" w16cid:durableId="1065834528">
    <w:abstractNumId w:val="19"/>
  </w:num>
  <w:num w:numId="13" w16cid:durableId="622148955">
    <w:abstractNumId w:val="22"/>
  </w:num>
  <w:num w:numId="14" w16cid:durableId="2022466315">
    <w:abstractNumId w:val="32"/>
  </w:num>
  <w:num w:numId="15" w16cid:durableId="1427186890">
    <w:abstractNumId w:val="9"/>
  </w:num>
  <w:num w:numId="16" w16cid:durableId="695621515">
    <w:abstractNumId w:val="7"/>
  </w:num>
  <w:num w:numId="17" w16cid:durableId="1081366142">
    <w:abstractNumId w:val="17"/>
  </w:num>
  <w:num w:numId="18" w16cid:durableId="1765421579">
    <w:abstractNumId w:val="31"/>
  </w:num>
  <w:num w:numId="19" w16cid:durableId="201139692">
    <w:abstractNumId w:val="26"/>
  </w:num>
  <w:num w:numId="20" w16cid:durableId="775558621">
    <w:abstractNumId w:val="8"/>
  </w:num>
  <w:num w:numId="21" w16cid:durableId="1226333563">
    <w:abstractNumId w:val="27"/>
  </w:num>
  <w:num w:numId="22" w16cid:durableId="1862670918">
    <w:abstractNumId w:val="28"/>
  </w:num>
  <w:num w:numId="23" w16cid:durableId="566501626">
    <w:abstractNumId w:val="29"/>
  </w:num>
  <w:num w:numId="24" w16cid:durableId="1502771618">
    <w:abstractNumId w:val="34"/>
  </w:num>
  <w:num w:numId="25" w16cid:durableId="604462973">
    <w:abstractNumId w:val="23"/>
  </w:num>
  <w:num w:numId="26" w16cid:durableId="1385566223">
    <w:abstractNumId w:val="14"/>
  </w:num>
  <w:num w:numId="27" w16cid:durableId="1257598171">
    <w:abstractNumId w:val="5"/>
  </w:num>
  <w:num w:numId="28" w16cid:durableId="2055887599">
    <w:abstractNumId w:val="24"/>
  </w:num>
  <w:num w:numId="29" w16cid:durableId="665401281">
    <w:abstractNumId w:val="1"/>
  </w:num>
  <w:num w:numId="30" w16cid:durableId="523977324">
    <w:abstractNumId w:val="25"/>
  </w:num>
  <w:num w:numId="31" w16cid:durableId="1590190789">
    <w:abstractNumId w:val="30"/>
  </w:num>
  <w:num w:numId="32" w16cid:durableId="1339768000">
    <w:abstractNumId w:val="12"/>
  </w:num>
  <w:num w:numId="33" w16cid:durableId="813375513">
    <w:abstractNumId w:val="18"/>
  </w:num>
  <w:num w:numId="34" w16cid:durableId="745345469">
    <w:abstractNumId w:val="3"/>
  </w:num>
  <w:num w:numId="35" w16cid:durableId="678311213">
    <w:abstractNumId w:val="36"/>
  </w:num>
  <w:num w:numId="36" w16cid:durableId="1820339285">
    <w:abstractNumId w:val="10"/>
  </w:num>
  <w:num w:numId="37" w16cid:durableId="605619755">
    <w:abstractNumId w:val="11"/>
  </w:num>
  <w:num w:numId="38" w16cid:durableId="238832791">
    <w:abstractNumId w:val="37"/>
  </w:num>
  <w:num w:numId="39" w16cid:durableId="1970435569">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06A"/>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71"/>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E98"/>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5F"/>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87"/>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AF"/>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3D5"/>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8F6"/>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04"/>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04"/>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4.xml><?xml version="1.0" encoding="utf-8"?>
<ds:datastoreItem xmlns:ds="http://schemas.openxmlformats.org/officeDocument/2006/customXml" ds:itemID="{CF5DAFB6-2A6D-4D65-8205-A06CA2C20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Pages>
  <Words>508</Words>
  <Characters>2795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4</cp:revision>
  <cp:lastPrinted>2015-11-17T13:48:00Z</cp:lastPrinted>
  <dcterms:created xsi:type="dcterms:W3CDTF">2023-08-18T23:05:00Z</dcterms:created>
  <dcterms:modified xsi:type="dcterms:W3CDTF">2023-08-19T22:30:00Z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