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D6A36" w14:textId="0274C7C4" w:rsidR="00606F09" w:rsidRPr="00606F09" w:rsidRDefault="00606F09" w:rsidP="00606F09">
      <w:pPr>
        <w:keepNext/>
        <w:framePr w:dropCap="drop" w:lines="3" w:wrap="around" w:vAnchor="text" w:hAnchor="text"/>
        <w:spacing w:after="0" w:line="926" w:lineRule="exact"/>
        <w:textAlignment w:val="baseline"/>
        <w:rPr>
          <w:position w:val="-9"/>
          <w:sz w:val="123"/>
        </w:rPr>
      </w:pPr>
      <w:r w:rsidRPr="00606F09">
        <w:rPr>
          <w:position w:val="-9"/>
          <w:sz w:val="123"/>
        </w:rPr>
        <w:t>E</w:t>
      </w:r>
    </w:p>
    <w:p w14:paraId="249E23C1" w14:textId="29C79BC2" w:rsidR="00A73472" w:rsidRDefault="00606F09" w:rsidP="00606F09">
      <w:r>
        <w:t xml:space="preserve">l artículo escrito por </w:t>
      </w:r>
      <w:r w:rsidRPr="00606F09">
        <w:t>Zahn Bozanic, Pepa Kraft &amp; Andrea Tillet (2023)</w:t>
      </w:r>
      <w:r>
        <w:t>, titulado</w:t>
      </w:r>
      <w:r w:rsidRPr="00606F09">
        <w:t xml:space="preserve"> </w:t>
      </w:r>
      <w:r>
        <w:t xml:space="preserve">por </w:t>
      </w:r>
      <w:hyperlink r:id="rId11" w:history="1">
        <w:r w:rsidRPr="00606F09">
          <w:rPr>
            <w:rStyle w:val="Hipervnculo"/>
            <w:i/>
            <w:iCs/>
          </w:rPr>
          <w:t>Qualitative Disclosure and Credit Analysts’ Soft Rating Adjustments</w:t>
        </w:r>
      </w:hyperlink>
      <w:r w:rsidRPr="00606F09">
        <w:t xml:space="preserve">, </w:t>
      </w:r>
      <w:r>
        <w:t xml:space="preserve">publicado por </w:t>
      </w:r>
      <w:r w:rsidRPr="00606F09">
        <w:t xml:space="preserve">European Accounting Review, 32:4, 779-807, </w:t>
      </w:r>
      <w:r>
        <w:t>presenta el siguiente resumen</w:t>
      </w:r>
      <w:r w:rsidRPr="00606F09">
        <w:t xml:space="preserve">: </w:t>
      </w:r>
      <w:r>
        <w:t>“</w:t>
      </w:r>
      <w:r w:rsidRPr="00606F09">
        <w:rPr>
          <w:i/>
          <w:iCs/>
        </w:rPr>
        <w:t xml:space="preserve">Utilizando enfoques basados en diccionarios y modelos temáticos, examinamos si los analistas de crédito utilizan las divulgaciones cualitativas de los prestatarios para extraer información relacionada con el riesgo crediticio al hacer sus evaluaciones, y cómo. Primero descomponemos las calificaciones disponibles públicamente en factores cualitativos (ajustes suaves) y factores cuantitativos (ajustes duros). Encontramos que los ajustes suaves de los analistas de crédito, pero no los ajustes duros, reflejan la información en las divulgaciones cualitativas de los prestatarios. A continuación, nuestros resultados indican que la asociación entre las divulgaciones cualitativas de las empresas y los ajustes suaves varía dependiendo de la dependencia de la agencia de calificación de la divulgación pública, el acceso a la administración y la incertidumbre general del mercado. Finalmente, examinamos si el uso por parte de los analistas de información relevante para el riesgo crediticio de las divulgaciones cualitativas de los prestatarios aumenta la información de las rebajas de calificación crediticia. Encontramos que las rebajas de calificación crediticia de los prestatarios que proporcionan más divulgaciones cualitativas son más informativas que las de aquellos que no lo hacen; sin embargo, el aumento de la capacidad informativa disminuye después de la Ley Dodd-Frank, cuando aumentó la </w:t>
      </w:r>
      <w:r w:rsidRPr="00606F09">
        <w:rPr>
          <w:i/>
          <w:iCs/>
        </w:rPr>
        <w:t>responsabilidad legal y las sanciones regulatorias para las agencias de calificación crediticia</w:t>
      </w:r>
      <w:r w:rsidRPr="00606F09">
        <w:t>.</w:t>
      </w:r>
      <w:r>
        <w:t>” Es importante tener claro que los analistas de inversión se apoyan en datos no contenidos en los estados financieros. Además, obsérvese el distinto peso que dan a los datos cuantitativos o cualitativos.</w:t>
      </w:r>
      <w:r w:rsidR="00594058">
        <w:t xml:space="preserve"> En la arquitectura del mercado de capitales los analistas tienen un papel muy importante en cuanto se les considera expertos en derivar conclusiones de la información existente respecto de una empresa. Así como se puede estudiar el comportamiento de los preparadores, de los auditores, de los inversionistas, también se logra meditar sobre las formas de obrar de los analistas.</w:t>
      </w:r>
      <w:r w:rsidR="009A6867">
        <w:t xml:space="preserve"> Recuérdese que hay cantidades muy grandes en poder de inversionistas llamados institucionales, que se apoyan mucho en los analistas. Por lo tanto, son razonables las exigencias que las leyes establecen en materia de competencia e independencia.</w:t>
      </w:r>
      <w:r w:rsidR="00352611">
        <w:t xml:space="preserve"> Ante este escenario es posible preguntarse ¿son los contadores competentes para actuar como analistas? ¿Por qué se prefiere a tantos economistas? ¿esta práctica terminará controlada por los graduados en finanzas? Está muy claro que la sola formación contable, o en contabilidad financiera, o en finanzas, puede no ser suficiente para considerar que se ha formado a un analista, precisamente por la falta de formación más profunda en economía. El conocimiento de los sectores económicos, de los mercados, de sus prácticas, es fundamental si se quiere ser un buen analista. Las competencias de los contables deben ser mayores.</w:t>
      </w:r>
    </w:p>
    <w:p w14:paraId="60386C01" w14:textId="0A07A8A5" w:rsidR="00352611" w:rsidRDefault="00352611" w:rsidP="00352611">
      <w:pPr>
        <w:jc w:val="right"/>
      </w:pPr>
      <w:r w:rsidRPr="003C4ED4">
        <w:rPr>
          <w:i/>
          <w:iCs/>
        </w:rPr>
        <w:t>Hernando Bermúdez Gómez</w:t>
      </w:r>
    </w:p>
    <w:sectPr w:rsidR="00352611"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51E09" w14:textId="77777777" w:rsidR="009533BC" w:rsidRDefault="009533BC" w:rsidP="00EE7812">
      <w:pPr>
        <w:spacing w:after="0" w:line="240" w:lineRule="auto"/>
      </w:pPr>
      <w:r>
        <w:separator/>
      </w:r>
    </w:p>
  </w:endnote>
  <w:endnote w:type="continuationSeparator" w:id="0">
    <w:p w14:paraId="0FCEAE0E" w14:textId="77777777" w:rsidR="009533BC" w:rsidRDefault="009533B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76AB" w14:textId="77777777" w:rsidR="00C30E3A" w:rsidRDefault="00C30E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B0E5B" w14:textId="77777777" w:rsidR="00C30E3A" w:rsidRDefault="00C30E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15B2" w14:textId="77777777" w:rsidR="009533BC" w:rsidRDefault="009533BC" w:rsidP="00EE7812">
      <w:pPr>
        <w:spacing w:after="0" w:line="240" w:lineRule="auto"/>
      </w:pPr>
      <w:r>
        <w:separator/>
      </w:r>
    </w:p>
  </w:footnote>
  <w:footnote w:type="continuationSeparator" w:id="0">
    <w:p w14:paraId="3ABCE1C3" w14:textId="77777777" w:rsidR="009533BC" w:rsidRDefault="009533B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227A" w14:textId="77777777" w:rsidR="00C30E3A" w:rsidRDefault="00C30E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61A3C86E"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D27E40">
      <w:t>7</w:t>
    </w:r>
    <w:r w:rsidR="00F751EB">
      <w:t>6</w:t>
    </w:r>
    <w:r>
      <w:t>,</w:t>
    </w:r>
    <w:r w:rsidR="001E23A5">
      <w:t xml:space="preserve"> </w:t>
    </w:r>
    <w:r w:rsidR="00A075FD">
      <w:t>2</w:t>
    </w:r>
    <w:r w:rsidR="00C30E3A">
      <w:t>8</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830F" w14:textId="77777777" w:rsidR="00C30E3A" w:rsidRDefault="00C30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8177494">
    <w:abstractNumId w:val="0"/>
  </w:num>
  <w:num w:numId="2" w16cid:durableId="285237740">
    <w:abstractNumId w:val="21"/>
  </w:num>
  <w:num w:numId="3" w16cid:durableId="1319308105">
    <w:abstractNumId w:val="15"/>
  </w:num>
  <w:num w:numId="4" w16cid:durableId="526067941">
    <w:abstractNumId w:val="2"/>
  </w:num>
  <w:num w:numId="5" w16cid:durableId="1061366782">
    <w:abstractNumId w:val="20"/>
  </w:num>
  <w:num w:numId="6" w16cid:durableId="561451983">
    <w:abstractNumId w:val="35"/>
  </w:num>
  <w:num w:numId="7" w16cid:durableId="2114855197">
    <w:abstractNumId w:val="13"/>
  </w:num>
  <w:num w:numId="8" w16cid:durableId="1925072470">
    <w:abstractNumId w:val="33"/>
  </w:num>
  <w:num w:numId="9" w16cid:durableId="1259294333">
    <w:abstractNumId w:val="38"/>
  </w:num>
  <w:num w:numId="10" w16cid:durableId="1731804329">
    <w:abstractNumId w:val="4"/>
  </w:num>
  <w:num w:numId="11" w16cid:durableId="2025934260">
    <w:abstractNumId w:val="6"/>
  </w:num>
  <w:num w:numId="12" w16cid:durableId="1374309153">
    <w:abstractNumId w:val="19"/>
  </w:num>
  <w:num w:numId="13" w16cid:durableId="781992856">
    <w:abstractNumId w:val="22"/>
  </w:num>
  <w:num w:numId="14" w16cid:durableId="546920547">
    <w:abstractNumId w:val="32"/>
  </w:num>
  <w:num w:numId="15" w16cid:durableId="1693846521">
    <w:abstractNumId w:val="9"/>
  </w:num>
  <w:num w:numId="16" w16cid:durableId="134033299">
    <w:abstractNumId w:val="7"/>
  </w:num>
  <w:num w:numId="17" w16cid:durableId="1245645963">
    <w:abstractNumId w:val="17"/>
  </w:num>
  <w:num w:numId="18" w16cid:durableId="1709068079">
    <w:abstractNumId w:val="31"/>
  </w:num>
  <w:num w:numId="19" w16cid:durableId="1348016785">
    <w:abstractNumId w:val="26"/>
  </w:num>
  <w:num w:numId="20" w16cid:durableId="1413234043">
    <w:abstractNumId w:val="8"/>
  </w:num>
  <w:num w:numId="21" w16cid:durableId="738093287">
    <w:abstractNumId w:val="27"/>
  </w:num>
  <w:num w:numId="22" w16cid:durableId="953099354">
    <w:abstractNumId w:val="28"/>
  </w:num>
  <w:num w:numId="23" w16cid:durableId="1146818584">
    <w:abstractNumId w:val="29"/>
  </w:num>
  <w:num w:numId="24" w16cid:durableId="1666740274">
    <w:abstractNumId w:val="34"/>
  </w:num>
  <w:num w:numId="25" w16cid:durableId="2037659969">
    <w:abstractNumId w:val="23"/>
  </w:num>
  <w:num w:numId="26" w16cid:durableId="435369247">
    <w:abstractNumId w:val="14"/>
  </w:num>
  <w:num w:numId="27" w16cid:durableId="909266660">
    <w:abstractNumId w:val="5"/>
  </w:num>
  <w:num w:numId="28" w16cid:durableId="837040232">
    <w:abstractNumId w:val="24"/>
  </w:num>
  <w:num w:numId="29" w16cid:durableId="1173955058">
    <w:abstractNumId w:val="1"/>
  </w:num>
  <w:num w:numId="30" w16cid:durableId="788164579">
    <w:abstractNumId w:val="25"/>
  </w:num>
  <w:num w:numId="31" w16cid:durableId="1367219323">
    <w:abstractNumId w:val="30"/>
  </w:num>
  <w:num w:numId="32" w16cid:durableId="1547763912">
    <w:abstractNumId w:val="12"/>
  </w:num>
  <w:num w:numId="33" w16cid:durableId="1011370816">
    <w:abstractNumId w:val="18"/>
  </w:num>
  <w:num w:numId="34" w16cid:durableId="1373001617">
    <w:abstractNumId w:val="3"/>
  </w:num>
  <w:num w:numId="35" w16cid:durableId="763376507">
    <w:abstractNumId w:val="36"/>
  </w:num>
  <w:num w:numId="36" w16cid:durableId="2119328561">
    <w:abstractNumId w:val="10"/>
  </w:num>
  <w:num w:numId="37" w16cid:durableId="1311057354">
    <w:abstractNumId w:val="11"/>
  </w:num>
  <w:num w:numId="38" w16cid:durableId="571351569">
    <w:abstractNumId w:val="37"/>
  </w:num>
  <w:num w:numId="39" w16cid:durableId="143944708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88"/>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BDF"/>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3BC"/>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83"/>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CD"/>
    <w:rsid w:val="00C30D40"/>
    <w:rsid w:val="00C30D6D"/>
    <w:rsid w:val="00C30DC9"/>
    <w:rsid w:val="00C30E3A"/>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10.1080\09638180.2022.2038227"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A2BBA6CE-24B7-4568-A5A7-0E66D81AC3F1}">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2023-08-27T00:39:00Z</dcterms:created>
  <dcterms:modified xsi:type="dcterms:W3CDTF">2023-08-27T00:39:00Z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