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9C" w:rsidRPr="00C4049C" w:rsidRDefault="00C4049C" w:rsidP="00C4049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C4049C">
        <w:rPr>
          <w:position w:val="-8"/>
          <w:sz w:val="122"/>
        </w:rPr>
        <w:t>A</w:t>
      </w:r>
    </w:p>
    <w:p w:rsidR="00254435" w:rsidRPr="00254435" w:rsidRDefault="00254435" w:rsidP="00254435">
      <w:r w:rsidRPr="00254435">
        <w:t xml:space="preserve">ctualmente el IASB y el FASB están redactando </w:t>
      </w:r>
      <w:r w:rsidR="00C4049C">
        <w:t>una</w:t>
      </w:r>
      <w:r w:rsidRPr="00254435">
        <w:t xml:space="preserve"> nueva norma </w:t>
      </w:r>
      <w:r w:rsidR="00C4049C">
        <w:t>sobre</w:t>
      </w:r>
      <w:r w:rsidRPr="00254435">
        <w:t xml:space="preserve"> arrendamientos</w:t>
      </w:r>
      <w:r w:rsidR="00C4049C">
        <w:t>,</w:t>
      </w:r>
      <w:r w:rsidRPr="00254435">
        <w:t xml:space="preserve"> que se </w:t>
      </w:r>
      <w:r w:rsidR="00C4049C">
        <w:t xml:space="preserve">piensa </w:t>
      </w:r>
      <w:r w:rsidRPr="00254435">
        <w:t>publicar a finales del año 2013, cuyos aspectos más importantes son:</w:t>
      </w:r>
    </w:p>
    <w:p w:rsidR="00254435" w:rsidRPr="00254435" w:rsidRDefault="00254435" w:rsidP="00254435">
      <w:pPr>
        <w:pStyle w:val="NoSpacing"/>
        <w:numPr>
          <w:ilvl w:val="0"/>
          <w:numId w:val="10"/>
        </w:numPr>
      </w:pPr>
      <w:r w:rsidRPr="00254435">
        <w:t>Los arrendatarios reconocerán todos los arrendamientos</w:t>
      </w:r>
      <w:r w:rsidR="00E07B7D">
        <w:t>,</w:t>
      </w:r>
      <w:r w:rsidRPr="00254435">
        <w:t xml:space="preserve"> que no sean a corto plazo</w:t>
      </w:r>
      <w:r w:rsidR="00E07B7D">
        <w:t>,</w:t>
      </w:r>
      <w:r w:rsidRPr="00254435">
        <w:t xml:space="preserve"> registrando un activo por el derecho de uso y un pasivo por la deuda del arrendamiento. </w:t>
      </w:r>
    </w:p>
    <w:p w:rsidR="00254435" w:rsidRPr="00254435" w:rsidRDefault="00254435" w:rsidP="00254435">
      <w:pPr>
        <w:pStyle w:val="NoSpacing"/>
        <w:numPr>
          <w:ilvl w:val="0"/>
          <w:numId w:val="10"/>
        </w:numPr>
      </w:pPr>
      <w:r w:rsidRPr="00254435">
        <w:t>El concepto de "arrendamiento operativo" deja de existir.</w:t>
      </w:r>
    </w:p>
    <w:p w:rsidR="00254435" w:rsidRDefault="00254435" w:rsidP="00254435">
      <w:pPr>
        <w:pStyle w:val="NoSpacing"/>
        <w:numPr>
          <w:ilvl w:val="0"/>
          <w:numId w:val="10"/>
        </w:numPr>
      </w:pPr>
      <w:r w:rsidRPr="00254435">
        <w:t>Habrá un modelo dual de reconocimiento de gastos por parte del arrendatario y el arrendador:</w:t>
      </w:r>
    </w:p>
    <w:p w:rsidR="00C4049C" w:rsidRPr="00254435" w:rsidRDefault="00C4049C" w:rsidP="00C4049C">
      <w:pPr>
        <w:pStyle w:val="NoSpacing"/>
      </w:pPr>
    </w:p>
    <w:p w:rsidR="00254435" w:rsidRPr="00254435" w:rsidRDefault="00254435" w:rsidP="00254435">
      <w:pPr>
        <w:rPr>
          <w:b/>
          <w:u w:val="single"/>
        </w:rPr>
      </w:pPr>
      <w:r w:rsidRPr="00254435">
        <w:rPr>
          <w:b/>
          <w:u w:val="single"/>
        </w:rPr>
        <w:t>Arrendatario:</w:t>
      </w:r>
    </w:p>
    <w:p w:rsidR="00254435" w:rsidRPr="00254435" w:rsidRDefault="00254435" w:rsidP="00254435">
      <w:pPr>
        <w:pStyle w:val="NoSpacing"/>
        <w:numPr>
          <w:ilvl w:val="0"/>
          <w:numId w:val="11"/>
        </w:numPr>
      </w:pPr>
      <w:r w:rsidRPr="00254435">
        <w:rPr>
          <w:b/>
        </w:rPr>
        <w:t>Modelo de gasto acelerado</w:t>
      </w:r>
      <w:r w:rsidRPr="00254435">
        <w:t xml:space="preserve"> (método de interés y amortización): El gasto de arrendamiento se sustituiría por un gasto amortizable del derecho de uso y un gasto por intereses por el método del tipo de interés efectivo.</w:t>
      </w:r>
    </w:p>
    <w:p w:rsidR="00254435" w:rsidRDefault="00254435" w:rsidP="00254435">
      <w:pPr>
        <w:pStyle w:val="NoSpacing"/>
        <w:numPr>
          <w:ilvl w:val="0"/>
          <w:numId w:val="11"/>
        </w:numPr>
      </w:pPr>
      <w:r w:rsidRPr="00254435">
        <w:rPr>
          <w:b/>
        </w:rPr>
        <w:t>Modelo del gasto lineal</w:t>
      </w:r>
      <w:r w:rsidRPr="00254435">
        <w:t xml:space="preserve"> (método de gasto único por arrendamiento): Se presentará como un gasto por arrendamiento, en línea con los actuales alquileres operativos.</w:t>
      </w:r>
    </w:p>
    <w:p w:rsidR="00C4049C" w:rsidRPr="00254435" w:rsidRDefault="00C4049C" w:rsidP="00C4049C">
      <w:pPr>
        <w:pStyle w:val="NoSpacing"/>
      </w:pPr>
    </w:p>
    <w:p w:rsidR="00254435" w:rsidRPr="00254435" w:rsidRDefault="00254435" w:rsidP="00254435">
      <w:pPr>
        <w:rPr>
          <w:b/>
          <w:u w:val="single"/>
        </w:rPr>
      </w:pPr>
      <w:r w:rsidRPr="00254435">
        <w:rPr>
          <w:b/>
          <w:u w:val="single"/>
        </w:rPr>
        <w:t>Arrendador:</w:t>
      </w:r>
    </w:p>
    <w:p w:rsidR="00254435" w:rsidRPr="00254435" w:rsidRDefault="00254435" w:rsidP="00C4049C">
      <w:pPr>
        <w:pStyle w:val="NoSpacing"/>
        <w:numPr>
          <w:ilvl w:val="0"/>
          <w:numId w:val="12"/>
        </w:numPr>
      </w:pPr>
      <w:r w:rsidRPr="00254435">
        <w:t>Aplicación de un modelo similar al actual de arrendamiento operativo, en el que no se produce la baja en cuentas del activo subyacente ni hay beneficio/pérdida al comienzo del arrendamiento.</w:t>
      </w:r>
    </w:p>
    <w:p w:rsidR="00254435" w:rsidRPr="00254435" w:rsidRDefault="00254435" w:rsidP="00C4049C">
      <w:pPr>
        <w:pStyle w:val="NoSpacing"/>
        <w:numPr>
          <w:ilvl w:val="0"/>
          <w:numId w:val="12"/>
        </w:numPr>
      </w:pPr>
      <w:r w:rsidRPr="00254435">
        <w:t xml:space="preserve">Modelo de la "cuenta por cobrar y activo residual", que reconoce una cuenta por cobrar por el arrendamiento y da de baja el activo, </w:t>
      </w:r>
      <w:r w:rsidRPr="00254435">
        <w:lastRenderedPageBreak/>
        <w:t>manteniendo una participación residual.</w:t>
      </w:r>
    </w:p>
    <w:p w:rsidR="00254435" w:rsidRDefault="00254435" w:rsidP="00C4049C">
      <w:pPr>
        <w:pStyle w:val="NoSpacing"/>
        <w:numPr>
          <w:ilvl w:val="0"/>
          <w:numId w:val="12"/>
        </w:numPr>
      </w:pPr>
      <w:r w:rsidRPr="00254435">
        <w:t xml:space="preserve">Quedarían excluidos del alcance de la norma, los arrendamientos de exploración de recursos naturales, activos intangibles y activos biológicos, los arrendamientos que cumplen la definición de contrato de carácter oneroso, así como los contratos que representan la compra o venta del activo subyacente. </w:t>
      </w:r>
    </w:p>
    <w:p w:rsidR="00C4049C" w:rsidRPr="00254435" w:rsidRDefault="00C4049C" w:rsidP="00C4049C">
      <w:pPr>
        <w:pStyle w:val="NoSpacing"/>
      </w:pPr>
    </w:p>
    <w:p w:rsidR="00254435" w:rsidRPr="00254435" w:rsidRDefault="00254435" w:rsidP="00254435">
      <w:r w:rsidRPr="00254435">
        <w:t>Esta nueva norma</w:t>
      </w:r>
      <w:r w:rsidR="00E36529">
        <w:t>,</w:t>
      </w:r>
      <w:r w:rsidRPr="00254435">
        <w:t xml:space="preserve"> desde su borrador inicial</w:t>
      </w:r>
      <w:r w:rsidR="00E36529">
        <w:t>,</w:t>
      </w:r>
      <w:r w:rsidRPr="00254435">
        <w:t xml:space="preserve"> ha sido un proyecto polémico por no proporcionar un modelo único de contabilización de arrendamientos y por los cambios radicales que propone. Por ejemplo, el método del gasto acelerado implica una mayor concentración del gasto en los primeros años del período de arrendamiento</w:t>
      </w:r>
      <w:r w:rsidR="00487F6D">
        <w:t>,</w:t>
      </w:r>
      <w:r w:rsidRPr="00254435">
        <w:t xml:space="preserve"> que </w:t>
      </w:r>
      <w:r w:rsidR="00E36529" w:rsidRPr="00254435">
        <w:t>en comparación con las prácticas actuale</w:t>
      </w:r>
      <w:r w:rsidR="00E36529">
        <w:t xml:space="preserve">s </w:t>
      </w:r>
      <w:r w:rsidRPr="00254435">
        <w:t>afectaría los indicadores financieros como el EBITDA.</w:t>
      </w:r>
    </w:p>
    <w:p w:rsidR="00254435" w:rsidRPr="00254435" w:rsidRDefault="00254435" w:rsidP="00254435">
      <w:r w:rsidRPr="00254435">
        <w:t xml:space="preserve">Seguramente las entidades al definir el método a utilizar llegarán a la conclusión general de aplicar el reconocimiento lineal de gastos para muchos arrendamientos de inmuebles y el modelo de reconocimiento acelerado para los arrendamientos de equipos. </w:t>
      </w:r>
    </w:p>
    <w:p w:rsidR="00254435" w:rsidRPr="00254435" w:rsidRDefault="00254435" w:rsidP="00254435">
      <w:r w:rsidRPr="00254435">
        <w:t>En todo caso</w:t>
      </w:r>
      <w:r w:rsidR="00487F6D">
        <w:t>,</w:t>
      </w:r>
      <w:r w:rsidRPr="00254435">
        <w:t xml:space="preserve"> debemos estar preparados para el análisis y evaluación del documento final, de manera que logremos estimar el verdadero impacto de la aplicación en nuestras </w:t>
      </w:r>
      <w:r w:rsidR="00487F6D">
        <w:t>c</w:t>
      </w:r>
      <w:bookmarkStart w:id="0" w:name="_GoBack"/>
      <w:bookmarkEnd w:id="0"/>
      <w:r w:rsidRPr="00254435">
        <w:t>ompañías.</w:t>
      </w:r>
    </w:p>
    <w:p w:rsidR="00254435" w:rsidRPr="00254435" w:rsidRDefault="00254435" w:rsidP="00254435">
      <w:pPr>
        <w:pStyle w:val="NoSpacing"/>
        <w:jc w:val="right"/>
        <w:rPr>
          <w:i/>
        </w:rPr>
      </w:pPr>
      <w:r w:rsidRPr="00254435">
        <w:rPr>
          <w:i/>
        </w:rPr>
        <w:t xml:space="preserve">Aida </w:t>
      </w:r>
      <w:proofErr w:type="spellStart"/>
      <w:r w:rsidRPr="00254435">
        <w:rPr>
          <w:i/>
        </w:rPr>
        <w:t>JIneth</w:t>
      </w:r>
      <w:proofErr w:type="spellEnd"/>
      <w:r w:rsidRPr="00254435">
        <w:rPr>
          <w:i/>
        </w:rPr>
        <w:t xml:space="preserve"> Robayo Rincón</w:t>
      </w:r>
    </w:p>
    <w:p w:rsidR="00254435" w:rsidRPr="00254435" w:rsidRDefault="00254435" w:rsidP="00254435">
      <w:pPr>
        <w:pStyle w:val="NoSpacing"/>
        <w:jc w:val="right"/>
        <w:rPr>
          <w:i/>
        </w:rPr>
      </w:pPr>
      <w:r w:rsidRPr="00254435">
        <w:rPr>
          <w:i/>
        </w:rPr>
        <w:t xml:space="preserve">Nancy </w:t>
      </w:r>
      <w:proofErr w:type="spellStart"/>
      <w:r w:rsidRPr="00254435">
        <w:rPr>
          <w:i/>
        </w:rPr>
        <w:t>Hansbleidy</w:t>
      </w:r>
      <w:proofErr w:type="spellEnd"/>
      <w:r w:rsidRPr="00254435">
        <w:rPr>
          <w:i/>
        </w:rPr>
        <w:t xml:space="preserve">  Bohórquez Páez</w:t>
      </w:r>
    </w:p>
    <w:p w:rsidR="00254435" w:rsidRPr="00254435" w:rsidRDefault="00254435" w:rsidP="00254435">
      <w:pPr>
        <w:pStyle w:val="NoSpacing"/>
        <w:jc w:val="right"/>
        <w:rPr>
          <w:i/>
        </w:rPr>
      </w:pPr>
      <w:r w:rsidRPr="00254435">
        <w:rPr>
          <w:i/>
        </w:rPr>
        <w:t>John Freddy Sánchez Ramírez</w:t>
      </w:r>
    </w:p>
    <w:sectPr w:rsidR="00254435" w:rsidRPr="00254435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0A4" w:rsidRDefault="007360A4" w:rsidP="00EE7812">
      <w:pPr>
        <w:spacing w:after="0" w:line="240" w:lineRule="auto"/>
      </w:pPr>
      <w:r>
        <w:separator/>
      </w:r>
    </w:p>
  </w:endnote>
  <w:endnote w:type="continuationSeparator" w:id="0">
    <w:p w:rsidR="007360A4" w:rsidRDefault="007360A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0A4" w:rsidRDefault="007360A4" w:rsidP="00EE7812">
      <w:pPr>
        <w:spacing w:after="0" w:line="240" w:lineRule="auto"/>
      </w:pPr>
      <w:r>
        <w:separator/>
      </w:r>
    </w:p>
  </w:footnote>
  <w:footnote w:type="continuationSeparator" w:id="0">
    <w:p w:rsidR="007360A4" w:rsidRDefault="007360A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ED6E59">
      <w:t>59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7360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90626A"/>
    <w:multiLevelType w:val="hybridMultilevel"/>
    <w:tmpl w:val="12DE2E4A"/>
    <w:lvl w:ilvl="0" w:tplc="3E0EEC2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364D6B2D"/>
    <w:multiLevelType w:val="hybridMultilevel"/>
    <w:tmpl w:val="7AEAFCE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02651"/>
    <w:multiLevelType w:val="hybridMultilevel"/>
    <w:tmpl w:val="555C2B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30AD9"/>
    <w:multiLevelType w:val="hybridMultilevel"/>
    <w:tmpl w:val="AEEC08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2C2C8C"/>
    <w:multiLevelType w:val="hybridMultilevel"/>
    <w:tmpl w:val="7D8E44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30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D16"/>
    <w:rsid w:val="00253158"/>
    <w:rsid w:val="0025370A"/>
    <w:rsid w:val="00253A07"/>
    <w:rsid w:val="00253E93"/>
    <w:rsid w:val="00254435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87F6D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4E43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60A4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3E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49C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0EE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7D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529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D965-9423-4690-9DEE-08F67503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386</Words>
  <Characters>2127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2013-08-25T22:48:00Z</dcterms:created>
  <dcterms:modified xsi:type="dcterms:W3CDTF">2013-08-25T23:34:00Z</dcterms:modified>
</cp:coreProperties>
</file>