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78" w:rsidRPr="004E5278" w:rsidRDefault="004E5278" w:rsidP="004E527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E5278">
        <w:rPr>
          <w:position w:val="-9"/>
          <w:sz w:val="123"/>
        </w:rPr>
        <w:t>L</w:t>
      </w:r>
    </w:p>
    <w:p w:rsidR="009F49EA" w:rsidRPr="009F49EA" w:rsidRDefault="009F49EA" w:rsidP="009F49EA">
      <w:r w:rsidRPr="009F49EA">
        <w:t>os Fondos de Capital Privado - FCP se constituyen en un vehículo de inversión, en el cual inversionistas calificados realizan inversiones de capital en empresas que no cotizan en bolsa de valores</w:t>
      </w:r>
      <w:r w:rsidR="004E5278">
        <w:t xml:space="preserve">; </w:t>
      </w:r>
      <w:r w:rsidRPr="009F49EA">
        <w:t xml:space="preserve">se encuentran en la etapa inicial, con un potencial de crecimiento, que redunda en un incremento significativo del valor. </w:t>
      </w:r>
    </w:p>
    <w:p w:rsidR="009F49EA" w:rsidRPr="009F49EA" w:rsidRDefault="009F49EA" w:rsidP="009F49EA">
      <w:r w:rsidRPr="009F49EA">
        <w:t>Los FCP persiguen básicamente dos objetivos: multiplicar el valor del capital de la empresa en la que invierten y proveer un retorno de mediano y largo plazo a sus inversionistas</w:t>
      </w:r>
      <w:r w:rsidR="00B93699">
        <w:t>;</w:t>
      </w:r>
      <w:r w:rsidRPr="009F49EA">
        <w:t xml:space="preserve"> para esto, el FCP buscará desprenderse de su inversión en un plazo predeterminado, es decir, buscará “realizar su inversión”</w:t>
      </w:r>
      <w:r w:rsidRPr="009F49EA">
        <w:rPr>
          <w:vertAlign w:val="superscript"/>
        </w:rPr>
        <w:footnoteReference w:id="1"/>
      </w:r>
      <w:r w:rsidRPr="009F49EA">
        <w:t>.</w:t>
      </w:r>
    </w:p>
    <w:p w:rsidR="009F49EA" w:rsidRPr="009F49EA" w:rsidRDefault="009F49EA" w:rsidP="009F49EA">
      <w:r w:rsidRPr="009F49EA">
        <w:t xml:space="preserve">Dentro del contexto del marco de regulación contable, los FCP dada su naturaleza, así como el nivel de los recursos gestionados, deben responder </w:t>
      </w:r>
      <w:r w:rsidR="00476DC0">
        <w:t xml:space="preserve">a </w:t>
      </w:r>
      <w:r w:rsidRPr="009F49EA">
        <w:t xml:space="preserve">los requerimientos del </w:t>
      </w:r>
      <w:hyperlink r:id="rId9" w:history="1">
        <w:r w:rsidRPr="00476DC0">
          <w:rPr>
            <w:rStyle w:val="Hyperlink"/>
          </w:rPr>
          <w:t>Decreto 2784 de 2012</w:t>
        </w:r>
      </w:hyperlink>
      <w:r w:rsidRPr="009F49EA">
        <w:t xml:space="preserve"> para la preparación de su información financiera. </w:t>
      </w:r>
    </w:p>
    <w:p w:rsidR="009F49EA" w:rsidRPr="009F49EA" w:rsidRDefault="009F49EA" w:rsidP="009F49EA">
      <w:r w:rsidRPr="009F49EA">
        <w:t>De conformid</w:t>
      </w:r>
      <w:r w:rsidR="006A4533">
        <w:t>ad con el anexo del mencionado d</w:t>
      </w:r>
      <w:r w:rsidRPr="009F49EA">
        <w:t xml:space="preserve">ecreto, las inversiones de estos FCP deberían atender la naturaleza de inversiones en controladas o en asociadas. Esto implica que los informes financieros de las empresas en las que se invierte se consoliden </w:t>
      </w:r>
      <w:r w:rsidR="00A327F3">
        <w:t>con</w:t>
      </w:r>
      <w:r w:rsidRPr="009F49EA">
        <w:t xml:space="preserve"> los informes del fondo, en la medida </w:t>
      </w:r>
      <w:r w:rsidR="00A327F3">
        <w:t xml:space="preserve">en </w:t>
      </w:r>
      <w:r w:rsidRPr="009F49EA">
        <w:t xml:space="preserve">que se cumplan las condiciones de control de la NIIF 10 o </w:t>
      </w:r>
      <w:r w:rsidR="00A327F3">
        <w:t xml:space="preserve">en </w:t>
      </w:r>
      <w:r w:rsidRPr="009F49EA">
        <w:t xml:space="preserve">que se aplique el método de participación patrimonial si se </w:t>
      </w:r>
      <w:r w:rsidRPr="009F49EA">
        <w:lastRenderedPageBreak/>
        <w:t>cumplen los criterios de influencia significativa conforme a la NIC 28.</w:t>
      </w:r>
    </w:p>
    <w:p w:rsidR="009F49EA" w:rsidRPr="009F49EA" w:rsidRDefault="009F49EA" w:rsidP="009F49EA">
      <w:r w:rsidRPr="009F49EA">
        <w:t xml:space="preserve">Habría que preguntarse si la aplicación de estos criterios </w:t>
      </w:r>
      <w:r w:rsidR="00A327F3" w:rsidRPr="009F49EA">
        <w:t>en sus informes financieros</w:t>
      </w:r>
      <w:r w:rsidR="00A327F3" w:rsidRPr="009F49EA">
        <w:t xml:space="preserve"> </w:t>
      </w:r>
      <w:r w:rsidRPr="009F49EA">
        <w:t>realmente refleja la naturaleza de los fondo</w:t>
      </w:r>
      <w:r w:rsidR="00A327F3">
        <w:t>s</w:t>
      </w:r>
      <w:r w:rsidRPr="009F49EA">
        <w:t>, por ejemplo, ¿Consolidar convierte al fondo en un grupo económico?</w:t>
      </w:r>
      <w:r w:rsidR="004E5278">
        <w:t xml:space="preserve"> </w:t>
      </w:r>
      <w:r w:rsidRPr="009F49EA">
        <w:t>¿Es esta la naturaleza real del FCP?</w:t>
      </w:r>
    </w:p>
    <w:p w:rsidR="009F49EA" w:rsidRPr="009F49EA" w:rsidRDefault="009F49EA" w:rsidP="009F49EA">
      <w:pPr>
        <w:rPr>
          <w:i/>
        </w:rPr>
      </w:pPr>
      <w:r w:rsidRPr="009F49EA">
        <w:t xml:space="preserve">Como respuesta a estos y muchos más interrogantes, IASB emitió en octubre del 2012 las </w:t>
      </w:r>
      <w:hyperlink r:id="rId10" w:history="1">
        <w:r w:rsidRPr="009F49EA">
          <w:rPr>
            <w:rStyle w:val="Hyperlink"/>
          </w:rPr>
          <w:t>modificaciones a la NIIF 10, NIIF 12 y a la NIC 27</w:t>
        </w:r>
      </w:hyperlink>
      <w:r w:rsidRPr="009F49EA">
        <w:t>. Los planteamientos de este documento</w:t>
      </w:r>
      <w:r w:rsidR="004E5278">
        <w:t xml:space="preserve"> </w:t>
      </w:r>
      <w:r w:rsidRPr="009F49EA">
        <w:t>se encaminan a las entidades de inversión, las cuales son definidas como entidades que “</w:t>
      </w:r>
      <w:r w:rsidRPr="009F49EA">
        <w:rPr>
          <w:i/>
        </w:rPr>
        <w:t>obtienen</w:t>
      </w:r>
      <w:r w:rsidR="004E5278">
        <w:rPr>
          <w:i/>
        </w:rPr>
        <w:t xml:space="preserve"> </w:t>
      </w:r>
      <w:r w:rsidRPr="009F49EA">
        <w:rPr>
          <w:i/>
        </w:rPr>
        <w:t>fondos de uno o más inversores, se compromete con sus inversores a que su propósito de negocio sea únicamente la inversión de fondos para obtener rendimientos por la apreciación del capital, ingresos de inversiones, o ambos, y</w:t>
      </w:r>
      <w:r w:rsidR="004E5278">
        <w:rPr>
          <w:i/>
        </w:rPr>
        <w:t xml:space="preserve"> </w:t>
      </w:r>
      <w:r w:rsidRPr="009F49EA">
        <w:rPr>
          <w:i/>
        </w:rPr>
        <w:t>mide y evalúa el rendimiento de prácticamente todas sus inversiones sobre la base del valor razonable.</w:t>
      </w:r>
      <w:r w:rsidR="00F92535">
        <w:rPr>
          <w:i/>
        </w:rPr>
        <w:t xml:space="preserve"> </w:t>
      </w:r>
      <w:r w:rsidRPr="009F49EA">
        <w:rPr>
          <w:i/>
        </w:rPr>
        <w:t>(…)”</w:t>
      </w:r>
    </w:p>
    <w:p w:rsidR="009F49EA" w:rsidRPr="009F49EA" w:rsidRDefault="009F49EA" w:rsidP="009F49EA">
      <w:r w:rsidRPr="009F49EA">
        <w:t xml:space="preserve">En consecuencia las modificaciones exceptúan </w:t>
      </w:r>
      <w:r w:rsidR="00F92535">
        <w:t xml:space="preserve">de </w:t>
      </w:r>
      <w:r w:rsidRPr="009F49EA">
        <w:t>la consolidación las inversiones en subsidiarias de los FCP y en su lugar aplicar</w:t>
      </w:r>
      <w:r w:rsidR="00513F17">
        <w:t>án</w:t>
      </w:r>
      <w:r w:rsidRPr="009F49EA">
        <w:t xml:space="preserve"> el valor razonable con cambios en resultados de acuerdo con la NIIF 9. </w:t>
      </w:r>
    </w:p>
    <w:p w:rsidR="009F49EA" w:rsidRPr="009F49EA" w:rsidRDefault="009F49EA" w:rsidP="009F49EA">
      <w:r w:rsidRPr="009F49EA">
        <w:t>Ahora bien</w:t>
      </w:r>
      <w:r w:rsidR="00513F17">
        <w:t>:</w:t>
      </w:r>
      <w:r w:rsidRPr="009F49EA">
        <w:t xml:space="preserve"> en Colombia lo que actualmente se debe aplicar es lo que dicta el anexo</w:t>
      </w:r>
      <w:r w:rsidR="00513F17">
        <w:t>;</w:t>
      </w:r>
      <w:r w:rsidRPr="009F49EA">
        <w:t xml:space="preserve"> esto conllevaría a desgastes infructuosos para los FCP a sabiendas de las modificaciones hechas por IASB. “Ya estamos en NIIF” ahora el dilema es </w:t>
      </w:r>
      <w:r w:rsidR="00234E53">
        <w:t>qué</w:t>
      </w:r>
      <w:r w:rsidRPr="009F49EA">
        <w:t xml:space="preserve"> tan rápido nos actualiza</w:t>
      </w:r>
      <w:r w:rsidR="00252811">
        <w:t>re</w:t>
      </w:r>
      <w:bookmarkStart w:id="0" w:name="_GoBack"/>
      <w:bookmarkEnd w:id="0"/>
      <w:r w:rsidRPr="009F49EA">
        <w:t>mos con las NIIF</w:t>
      </w:r>
      <w:r w:rsidR="00234E53">
        <w:t>.</w:t>
      </w:r>
    </w:p>
    <w:p w:rsidR="00ED6E59" w:rsidRPr="00F21C8B" w:rsidRDefault="009F49EA" w:rsidP="009F49EA">
      <w:pPr>
        <w:jc w:val="right"/>
      </w:pPr>
      <w:r w:rsidRPr="009F49EA">
        <w:rPr>
          <w:i/>
          <w:iCs/>
        </w:rPr>
        <w:t>Martha Liliana Arias Bello</w:t>
      </w:r>
    </w:p>
    <w:sectPr w:rsidR="00ED6E59" w:rsidRPr="00F21C8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C0" w:rsidRDefault="009B6BC0" w:rsidP="00EE7812">
      <w:pPr>
        <w:spacing w:after="0" w:line="240" w:lineRule="auto"/>
      </w:pPr>
      <w:r>
        <w:separator/>
      </w:r>
    </w:p>
  </w:endnote>
  <w:endnote w:type="continuationSeparator" w:id="0">
    <w:p w:rsidR="009B6BC0" w:rsidRDefault="009B6BC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C0" w:rsidRDefault="009B6BC0" w:rsidP="00EE7812">
      <w:pPr>
        <w:spacing w:after="0" w:line="240" w:lineRule="auto"/>
      </w:pPr>
      <w:r>
        <w:separator/>
      </w:r>
    </w:p>
  </w:footnote>
  <w:footnote w:type="continuationSeparator" w:id="0">
    <w:p w:rsidR="009B6BC0" w:rsidRDefault="009B6BC0" w:rsidP="00EE7812">
      <w:pPr>
        <w:spacing w:after="0" w:line="240" w:lineRule="auto"/>
      </w:pPr>
      <w:r>
        <w:continuationSeparator/>
      </w:r>
    </w:p>
  </w:footnote>
  <w:footnote w:id="1">
    <w:p w:rsidR="009F49EA" w:rsidRPr="00225064" w:rsidRDefault="009F49EA" w:rsidP="009F49EA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A3EFA">
          <w:rPr>
            <w:rStyle w:val="Hyperlink"/>
          </w:rPr>
          <w:t>http://lavca.org/wp-content/uploads/2010/02/Guia-fondos-capital-privado-para-empresas.-Colombia.pdf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F21C8B">
      <w:t>60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0748D7">
      <w:t>26</w:t>
    </w:r>
    <w:r w:rsidR="0005771D">
      <w:t xml:space="preserve"> </w:t>
    </w:r>
    <w:r w:rsidR="0080786C">
      <w:t>de 201</w:t>
    </w:r>
    <w:r w:rsidR="00EB30A7">
      <w:t>3</w:t>
    </w:r>
  </w:p>
  <w:p w:rsidR="0046164F" w:rsidRDefault="009B6B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B99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BC0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A70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ifrs.ifrs.org/eifrs/files/276/ES-Investment-Entities-10-12_19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decreto-2784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vca.org/wp-content/uploads/2010/02/Guia-fondos-capital-privado-para-empresas.-Colomb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B98D-9EE3-4B86-A306-69319AF6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2013-08-25T22:57:00Z</dcterms:created>
  <dcterms:modified xsi:type="dcterms:W3CDTF">2013-08-25T23:07:00Z</dcterms:modified>
</cp:coreProperties>
</file>