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7385" w14:textId="4550F7EF" w:rsidR="00995939" w:rsidRPr="00995939" w:rsidRDefault="00995939" w:rsidP="00995939">
      <w:pPr>
        <w:keepNext/>
        <w:framePr w:dropCap="drop" w:lines="3" w:wrap="around" w:vAnchor="text" w:hAnchor="text"/>
        <w:spacing w:after="0" w:line="926" w:lineRule="exact"/>
        <w:textAlignment w:val="baseline"/>
        <w:rPr>
          <w:position w:val="-9"/>
          <w:sz w:val="123"/>
        </w:rPr>
      </w:pPr>
      <w:r w:rsidRPr="00995939">
        <w:rPr>
          <w:position w:val="-9"/>
          <w:sz w:val="123"/>
        </w:rPr>
        <w:t>E</w:t>
      </w:r>
    </w:p>
    <w:p w14:paraId="6DC2C441" w14:textId="765A0358" w:rsidR="00763A40" w:rsidRDefault="00995939" w:rsidP="00995939">
      <w:r>
        <w:t xml:space="preserve">ncontramos esta </w:t>
      </w:r>
      <w:hyperlink r:id="rId11" w:history="1">
        <w:r w:rsidRPr="00995939">
          <w:rPr>
            <w:rStyle w:val="Hipervnculo"/>
          </w:rPr>
          <w:t>noticia</w:t>
        </w:r>
      </w:hyperlink>
      <w:r>
        <w:t>: “</w:t>
      </w:r>
      <w:proofErr w:type="spellStart"/>
      <w:r w:rsidRPr="00995939">
        <w:rPr>
          <w:i/>
        </w:rPr>
        <w:t>Twenty-three</w:t>
      </w:r>
      <w:proofErr w:type="spellEnd"/>
      <w:r w:rsidRPr="00995939">
        <w:rPr>
          <w:i/>
        </w:rPr>
        <w:t xml:space="preserve"> </w:t>
      </w:r>
      <w:proofErr w:type="spellStart"/>
      <w:r w:rsidRPr="00995939">
        <w:rPr>
          <w:i/>
        </w:rPr>
        <w:t>awards</w:t>
      </w:r>
      <w:proofErr w:type="spellEnd"/>
      <w:r w:rsidRPr="00995939">
        <w:rPr>
          <w:i/>
        </w:rPr>
        <w:t xml:space="preserve"> </w:t>
      </w:r>
      <w:proofErr w:type="spellStart"/>
      <w:r w:rsidRPr="00995939">
        <w:rPr>
          <w:i/>
        </w:rPr>
        <w:t>for</w:t>
      </w:r>
      <w:proofErr w:type="spellEnd"/>
      <w:r w:rsidRPr="00995939">
        <w:rPr>
          <w:i/>
        </w:rPr>
        <w:t xml:space="preserve"> marketing </w:t>
      </w:r>
      <w:proofErr w:type="spellStart"/>
      <w:r w:rsidRPr="00995939">
        <w:rPr>
          <w:i/>
        </w:rPr>
        <w:t>achievement</w:t>
      </w:r>
      <w:proofErr w:type="spellEnd"/>
      <w:r w:rsidRPr="00995939">
        <w:rPr>
          <w:i/>
        </w:rPr>
        <w:t xml:space="preserve"> </w:t>
      </w:r>
      <w:proofErr w:type="spellStart"/>
      <w:r w:rsidRPr="00995939">
        <w:rPr>
          <w:i/>
        </w:rPr>
        <w:t>were</w:t>
      </w:r>
      <w:proofErr w:type="spellEnd"/>
      <w:r w:rsidRPr="00995939">
        <w:rPr>
          <w:i/>
        </w:rPr>
        <w:t xml:space="preserve"> </w:t>
      </w:r>
      <w:proofErr w:type="spellStart"/>
      <w:r w:rsidRPr="00995939">
        <w:rPr>
          <w:i/>
        </w:rPr>
        <w:t>presented</w:t>
      </w:r>
      <w:proofErr w:type="spellEnd"/>
      <w:r w:rsidRPr="00995939">
        <w:rPr>
          <w:i/>
        </w:rPr>
        <w:t xml:space="preserve"> </w:t>
      </w:r>
      <w:proofErr w:type="spellStart"/>
      <w:r w:rsidRPr="00995939">
        <w:rPr>
          <w:i/>
        </w:rPr>
        <w:t>to</w:t>
      </w:r>
      <w:proofErr w:type="spellEnd"/>
      <w:r w:rsidRPr="00995939">
        <w:rPr>
          <w:i/>
        </w:rPr>
        <w:t xml:space="preserve"> accounting </w:t>
      </w:r>
      <w:proofErr w:type="spellStart"/>
      <w:r w:rsidRPr="00995939">
        <w:rPr>
          <w:i/>
        </w:rPr>
        <w:t>marketers</w:t>
      </w:r>
      <w:proofErr w:type="spellEnd"/>
      <w:r w:rsidRPr="00995939">
        <w:rPr>
          <w:i/>
        </w:rPr>
        <w:t xml:space="preserve"> </w:t>
      </w:r>
      <w:proofErr w:type="spellStart"/>
      <w:r w:rsidRPr="00995939">
        <w:rPr>
          <w:i/>
        </w:rPr>
        <w:t>on</w:t>
      </w:r>
      <w:proofErr w:type="spellEnd"/>
      <w:r w:rsidRPr="00995939">
        <w:rPr>
          <w:i/>
        </w:rPr>
        <w:t xml:space="preserve"> May 8 at </w:t>
      </w:r>
      <w:proofErr w:type="spellStart"/>
      <w:r w:rsidRPr="00995939">
        <w:rPr>
          <w:i/>
        </w:rPr>
        <w:t>the</w:t>
      </w:r>
      <w:proofErr w:type="spellEnd"/>
      <w:r w:rsidRPr="00995939">
        <w:rPr>
          <w:i/>
        </w:rPr>
        <w:t xml:space="preserve"> </w:t>
      </w:r>
      <w:proofErr w:type="spellStart"/>
      <w:r w:rsidRPr="00995939">
        <w:rPr>
          <w:i/>
        </w:rPr>
        <w:t>Association</w:t>
      </w:r>
      <w:proofErr w:type="spellEnd"/>
      <w:r w:rsidRPr="00995939">
        <w:rPr>
          <w:i/>
        </w:rPr>
        <w:t xml:space="preserve"> </w:t>
      </w:r>
      <w:proofErr w:type="spellStart"/>
      <w:r w:rsidRPr="00995939">
        <w:rPr>
          <w:i/>
        </w:rPr>
        <w:t>for</w:t>
      </w:r>
      <w:proofErr w:type="spellEnd"/>
      <w:r w:rsidRPr="00995939">
        <w:rPr>
          <w:i/>
        </w:rPr>
        <w:t xml:space="preserve"> Accounting </w:t>
      </w:r>
      <w:proofErr w:type="spellStart"/>
      <w:r w:rsidRPr="00995939">
        <w:rPr>
          <w:i/>
        </w:rPr>
        <w:t>Marketing’s</w:t>
      </w:r>
      <w:proofErr w:type="spellEnd"/>
      <w:r w:rsidRPr="00995939">
        <w:rPr>
          <w:i/>
        </w:rPr>
        <w:t xml:space="preserve"> (AAM) </w:t>
      </w:r>
      <w:proofErr w:type="spellStart"/>
      <w:r w:rsidRPr="00995939">
        <w:rPr>
          <w:i/>
        </w:rPr>
        <w:t>annual</w:t>
      </w:r>
      <w:proofErr w:type="spellEnd"/>
      <w:r w:rsidRPr="00995939">
        <w:rPr>
          <w:i/>
        </w:rPr>
        <w:t xml:space="preserve"> Summit. </w:t>
      </w:r>
      <w:proofErr w:type="spellStart"/>
      <w:r w:rsidRPr="00995939">
        <w:rPr>
          <w:i/>
        </w:rPr>
        <w:t>AAM’s</w:t>
      </w:r>
      <w:proofErr w:type="spellEnd"/>
      <w:r w:rsidRPr="00995939">
        <w:rPr>
          <w:i/>
        </w:rPr>
        <w:t xml:space="preserve"> Marketing </w:t>
      </w:r>
      <w:proofErr w:type="spellStart"/>
      <w:r w:rsidRPr="00995939">
        <w:rPr>
          <w:i/>
        </w:rPr>
        <w:t>Achievement</w:t>
      </w:r>
      <w:proofErr w:type="spellEnd"/>
      <w:r w:rsidRPr="00995939">
        <w:rPr>
          <w:i/>
        </w:rPr>
        <w:t xml:space="preserve"> </w:t>
      </w:r>
      <w:proofErr w:type="spellStart"/>
      <w:r w:rsidRPr="00995939">
        <w:rPr>
          <w:i/>
        </w:rPr>
        <w:t>Awards</w:t>
      </w:r>
      <w:proofErr w:type="spellEnd"/>
      <w:r w:rsidRPr="00995939">
        <w:rPr>
          <w:i/>
        </w:rPr>
        <w:t xml:space="preserve"> </w:t>
      </w:r>
      <w:proofErr w:type="spellStart"/>
      <w:r w:rsidRPr="00995939">
        <w:rPr>
          <w:i/>
        </w:rPr>
        <w:t>feature</w:t>
      </w:r>
      <w:proofErr w:type="spellEnd"/>
      <w:r w:rsidRPr="00995939">
        <w:rPr>
          <w:i/>
        </w:rPr>
        <w:t xml:space="preserve"> </w:t>
      </w:r>
      <w:proofErr w:type="spellStart"/>
      <w:r w:rsidRPr="00995939">
        <w:rPr>
          <w:i/>
        </w:rPr>
        <w:t>awards</w:t>
      </w:r>
      <w:proofErr w:type="spellEnd"/>
      <w:r w:rsidRPr="00995939">
        <w:rPr>
          <w:i/>
        </w:rPr>
        <w:t xml:space="preserve"> in </w:t>
      </w:r>
      <w:proofErr w:type="spellStart"/>
      <w:r w:rsidRPr="00995939">
        <w:rPr>
          <w:i/>
        </w:rPr>
        <w:t>multiple</w:t>
      </w:r>
      <w:proofErr w:type="spellEnd"/>
      <w:r w:rsidRPr="00995939">
        <w:rPr>
          <w:i/>
        </w:rPr>
        <w:t xml:space="preserve"> </w:t>
      </w:r>
      <w:proofErr w:type="spellStart"/>
      <w:r w:rsidRPr="00995939">
        <w:rPr>
          <w:i/>
        </w:rPr>
        <w:t>categories</w:t>
      </w:r>
      <w:proofErr w:type="spellEnd"/>
      <w:r w:rsidRPr="00995939">
        <w:rPr>
          <w:i/>
        </w:rPr>
        <w:t xml:space="preserve">, </w:t>
      </w:r>
      <w:proofErr w:type="spellStart"/>
      <w:r w:rsidRPr="00995939">
        <w:rPr>
          <w:i/>
        </w:rPr>
        <w:t>including</w:t>
      </w:r>
      <w:proofErr w:type="spellEnd"/>
      <w:r w:rsidRPr="00995939">
        <w:rPr>
          <w:i/>
        </w:rPr>
        <w:t xml:space="preserve"> </w:t>
      </w:r>
      <w:proofErr w:type="spellStart"/>
      <w:r w:rsidRPr="00995939">
        <w:rPr>
          <w:i/>
        </w:rPr>
        <w:t>advertising</w:t>
      </w:r>
      <w:proofErr w:type="spellEnd"/>
      <w:r w:rsidRPr="00995939">
        <w:rPr>
          <w:i/>
        </w:rPr>
        <w:t xml:space="preserve">, branding, </w:t>
      </w:r>
      <w:proofErr w:type="spellStart"/>
      <w:r w:rsidRPr="00995939">
        <w:rPr>
          <w:i/>
        </w:rPr>
        <w:t>business</w:t>
      </w:r>
      <w:proofErr w:type="spellEnd"/>
      <w:r w:rsidRPr="00995939">
        <w:rPr>
          <w:i/>
        </w:rPr>
        <w:t xml:space="preserve"> </w:t>
      </w:r>
      <w:proofErr w:type="spellStart"/>
      <w:r w:rsidRPr="00995939">
        <w:rPr>
          <w:i/>
        </w:rPr>
        <w:t>development</w:t>
      </w:r>
      <w:proofErr w:type="spellEnd"/>
      <w:r w:rsidRPr="00995939">
        <w:rPr>
          <w:i/>
        </w:rPr>
        <w:t xml:space="preserve"> </w:t>
      </w:r>
      <w:proofErr w:type="spellStart"/>
      <w:r w:rsidRPr="00995939">
        <w:rPr>
          <w:i/>
        </w:rPr>
        <w:t>initiative</w:t>
      </w:r>
      <w:proofErr w:type="spellEnd"/>
      <w:r w:rsidRPr="00995939">
        <w:rPr>
          <w:i/>
        </w:rPr>
        <w:t xml:space="preserve">, </w:t>
      </w:r>
      <w:proofErr w:type="spellStart"/>
      <w:r w:rsidRPr="00995939">
        <w:rPr>
          <w:i/>
        </w:rPr>
        <w:t>collateral</w:t>
      </w:r>
      <w:proofErr w:type="spellEnd"/>
      <w:r w:rsidRPr="00995939">
        <w:rPr>
          <w:i/>
        </w:rPr>
        <w:t xml:space="preserve"> and </w:t>
      </w:r>
      <w:proofErr w:type="spellStart"/>
      <w:r w:rsidRPr="00995939">
        <w:rPr>
          <w:i/>
        </w:rPr>
        <w:t>content</w:t>
      </w:r>
      <w:proofErr w:type="spellEnd"/>
      <w:r w:rsidRPr="00995939">
        <w:rPr>
          <w:i/>
        </w:rPr>
        <w:t xml:space="preserve"> marketing, </w:t>
      </w:r>
      <w:proofErr w:type="spellStart"/>
      <w:r w:rsidRPr="00995939">
        <w:rPr>
          <w:i/>
        </w:rPr>
        <w:t>events</w:t>
      </w:r>
      <w:proofErr w:type="spellEnd"/>
      <w:r w:rsidRPr="00995939">
        <w:rPr>
          <w:i/>
        </w:rPr>
        <w:t xml:space="preserve">, marketing and PR </w:t>
      </w:r>
      <w:proofErr w:type="spellStart"/>
      <w:r w:rsidRPr="00995939">
        <w:rPr>
          <w:i/>
        </w:rPr>
        <w:t>campaigns</w:t>
      </w:r>
      <w:proofErr w:type="spellEnd"/>
      <w:r w:rsidRPr="00995939">
        <w:rPr>
          <w:i/>
        </w:rPr>
        <w:t xml:space="preserve">, video and multimedia, </w:t>
      </w:r>
      <w:proofErr w:type="spellStart"/>
      <w:r w:rsidRPr="00995939">
        <w:rPr>
          <w:i/>
        </w:rPr>
        <w:t>website</w:t>
      </w:r>
      <w:proofErr w:type="spellEnd"/>
      <w:r w:rsidRPr="00995939">
        <w:rPr>
          <w:i/>
        </w:rPr>
        <w:t xml:space="preserve">, </w:t>
      </w:r>
      <w:proofErr w:type="spellStart"/>
      <w:r w:rsidRPr="00995939">
        <w:rPr>
          <w:i/>
        </w:rPr>
        <w:t>corporate</w:t>
      </w:r>
      <w:proofErr w:type="spellEnd"/>
      <w:r w:rsidRPr="00995939">
        <w:rPr>
          <w:i/>
        </w:rPr>
        <w:t xml:space="preserve"> social </w:t>
      </w:r>
      <w:proofErr w:type="spellStart"/>
      <w:r w:rsidRPr="00995939">
        <w:rPr>
          <w:i/>
        </w:rPr>
        <w:t>responsibility</w:t>
      </w:r>
      <w:proofErr w:type="spellEnd"/>
      <w:r w:rsidRPr="00995939">
        <w:rPr>
          <w:i/>
        </w:rPr>
        <w:t xml:space="preserve"> and </w:t>
      </w:r>
      <w:proofErr w:type="spellStart"/>
      <w:r w:rsidRPr="00995939">
        <w:rPr>
          <w:i/>
        </w:rPr>
        <w:t>diversity</w:t>
      </w:r>
      <w:proofErr w:type="spellEnd"/>
      <w:r w:rsidRPr="00995939">
        <w:rPr>
          <w:i/>
        </w:rPr>
        <w:t xml:space="preserve">, </w:t>
      </w:r>
      <w:proofErr w:type="spellStart"/>
      <w:r w:rsidRPr="00995939">
        <w:rPr>
          <w:i/>
        </w:rPr>
        <w:t>equity</w:t>
      </w:r>
      <w:proofErr w:type="spellEnd"/>
      <w:r w:rsidRPr="00995939">
        <w:rPr>
          <w:i/>
        </w:rPr>
        <w:t xml:space="preserve"> and </w:t>
      </w:r>
      <w:proofErr w:type="spellStart"/>
      <w:r w:rsidRPr="00995939">
        <w:rPr>
          <w:i/>
        </w:rPr>
        <w:t>inclusion</w:t>
      </w:r>
      <w:proofErr w:type="spellEnd"/>
      <w:r w:rsidRPr="00995939">
        <w:t>.</w:t>
      </w:r>
      <w:r>
        <w:t>” Al revisar los premiados encontramos este: “</w:t>
      </w:r>
      <w:proofErr w:type="spellStart"/>
      <w:r w:rsidRPr="00995939">
        <w:rPr>
          <w:i/>
        </w:rPr>
        <w:t>Collateral</w:t>
      </w:r>
      <w:proofErr w:type="spellEnd"/>
      <w:r w:rsidRPr="00995939">
        <w:rPr>
          <w:i/>
        </w:rPr>
        <w:t xml:space="preserve"> and Content Marketing -</w:t>
      </w:r>
      <w:proofErr w:type="spellStart"/>
      <w:r w:rsidRPr="00995939">
        <w:rPr>
          <w:i/>
        </w:rPr>
        <w:t>Brochures</w:t>
      </w:r>
      <w:proofErr w:type="spellEnd"/>
      <w:r w:rsidRPr="00995939">
        <w:rPr>
          <w:i/>
        </w:rPr>
        <w:t xml:space="preserve">, </w:t>
      </w:r>
      <w:proofErr w:type="spellStart"/>
      <w:r w:rsidRPr="00995939">
        <w:rPr>
          <w:i/>
        </w:rPr>
        <w:t>Mazars</w:t>
      </w:r>
      <w:proofErr w:type="spellEnd"/>
      <w:r>
        <w:t xml:space="preserve">”. Las acciones de mercadeo y concretamente la publicidad son necesarias para que las firmas de contadores se hagan conocer y atraigan nuevos clientes. En nuestros medios de comunicación masivos son infrecuentes y extraños los esfuerzos publicitarios de nuestras firmas de </w:t>
      </w:r>
      <w:r w:rsidR="00C04DEF">
        <w:t xml:space="preserve">contadores. A 14 de agosto de 2023 </w:t>
      </w:r>
      <w:hyperlink r:id="rId12" w:history="1">
        <w:r w:rsidR="00C04DEF" w:rsidRPr="00C04DEF">
          <w:rPr>
            <w:rStyle w:val="Hipervnculo"/>
          </w:rPr>
          <w:t>estaban activas 4191</w:t>
        </w:r>
      </w:hyperlink>
      <w:r w:rsidR="00C04DEF">
        <w:t xml:space="preserve">. Bajo la vigencia del código de ética aprobado con fundamento en la Ley 145 de 1960 la publicidad estuvo muy restringida. Luego de la sentencia C-530-00 se esperaba una mayor actividad en esta materia, pero lo sucedido no es significativo. Ahora bien: siempre que pensamos en publicidad debemos tener en cuenta la </w:t>
      </w:r>
      <w:hyperlink r:id="rId13" w:history="1">
        <w:r w:rsidR="00C04DEF" w:rsidRPr="00C04DEF">
          <w:rPr>
            <w:rStyle w:val="Hipervnculo"/>
          </w:rPr>
          <w:t>ley del consumidor</w:t>
        </w:r>
      </w:hyperlink>
      <w:r w:rsidR="00C04DEF">
        <w:t>.</w:t>
      </w:r>
      <w:r w:rsidR="00FE72E4">
        <w:t xml:space="preserve"> La publicidad educa. Muchas veces la comunidad no tiene ideas claras sobre ciertos servicios profesionales. Esta deficiencia puede contrarrestarse a través de la publicidad.</w:t>
      </w:r>
      <w:r w:rsidR="003D5956">
        <w:t xml:space="preserve"> Con dicha finalidad </w:t>
      </w:r>
      <w:r w:rsidR="0029780C">
        <w:t xml:space="preserve">también </w:t>
      </w:r>
      <w:r w:rsidR="003D5956">
        <w:t xml:space="preserve">pueden usarse los llamados </w:t>
      </w:r>
      <w:proofErr w:type="spellStart"/>
      <w:r w:rsidR="003D5956" w:rsidRPr="0029780C">
        <w:rPr>
          <w:i/>
        </w:rPr>
        <w:t>brochure</w:t>
      </w:r>
      <w:proofErr w:type="spellEnd"/>
      <w:r w:rsidR="0029780C">
        <w:t xml:space="preserve">, que para el Diccionario de la Lengua Española </w:t>
      </w:r>
      <w:hyperlink r:id="rId14" w:history="1">
        <w:r w:rsidR="0029780C" w:rsidRPr="0029780C">
          <w:rPr>
            <w:rStyle w:val="Hipervnculo"/>
          </w:rPr>
          <w:t>significa</w:t>
        </w:r>
      </w:hyperlink>
      <w:r w:rsidR="0029780C">
        <w:t xml:space="preserve">: </w:t>
      </w:r>
      <w:r w:rsidR="0029780C" w:rsidRPr="0029780C">
        <w:rPr>
          <w:i/>
        </w:rPr>
        <w:t xml:space="preserve">Folleto impreso de carácter informativo o </w:t>
      </w:r>
      <w:r w:rsidR="0029780C" w:rsidRPr="0029780C">
        <w:rPr>
          <w:i/>
        </w:rPr>
        <w:t>propagandístico sobre un determinado tema o producto</w:t>
      </w:r>
      <w:r w:rsidR="0029780C" w:rsidRPr="0029780C">
        <w:t>.</w:t>
      </w:r>
      <w:r w:rsidR="0029780C">
        <w:t xml:space="preserve"> La imagen y el contenido se mezclan para lograr mensajes con penetración y recordación. El contenido debe ceñirse a la verdad y ser muy comprensible. La imagen debe tener relación con el contenido y hacer gala de gran estética. Pequeñas piezas publicitarias pueden circular muy fácilmente y llevar el mensaje a muchos. Es buena idea utilizarlos como insertos, aunque a veces se cobra mucho por esta modalidad.</w:t>
      </w:r>
      <w:r w:rsidR="00F86946">
        <w:t xml:space="preserve"> La comunidad no tiene claridad sobre los servicios usuales, como la tercerización o la revisoría fiscal. Mucho menor tiene sobre otros.</w:t>
      </w:r>
      <w:r w:rsidR="00690963">
        <w:t xml:space="preserve"> Esta difusión podría realizarse a través de los gremios de la profesión, reuniendo los pequeños recursos de muchos. Ojalá se trataran de posicionar servicios de corte empresarial no relacionados con el cumplimiento de exigencias legales. La publicación periódica de artículos de orientación para la comunidad puede ayudar a la formación de una cultura contable y como medio propagandístico sobre el portafolio de la profesión.</w:t>
      </w:r>
      <w:r w:rsidR="00ED68C7">
        <w:t xml:space="preserve"> En algunos programas de pregrado se incluía la materia de mercadeo, que ayuda</w:t>
      </w:r>
      <w:r w:rsidR="00092294">
        <w:t>ba</w:t>
      </w:r>
      <w:r w:rsidR="00ED68C7">
        <w:t xml:space="preserve"> a los estudiantes a prepararse para </w:t>
      </w:r>
      <w:r w:rsidR="00092294">
        <w:t>apoyar</w:t>
      </w:r>
      <w:r w:rsidR="00ED68C7">
        <w:t xml:space="preserve"> a futuros clientes, a la vez que les servía para manejar su propia organización. Hoy los contadores ya no tienen tanta preparación en esta materia como antes.</w:t>
      </w:r>
      <w:r w:rsidR="00092294">
        <w:t xml:space="preserve"> No podemos ignorar que estamos em una sociedad de información que utiliza intensivamente las imágenes. </w:t>
      </w:r>
      <w:r w:rsidR="006F2D07">
        <w:t>Las infografías han cobrado mucha importancia. Las imágenes cuentan procesos, haciendo alarde de conceptualizaciones maduras.</w:t>
      </w:r>
    </w:p>
    <w:p w14:paraId="763F352F" w14:textId="05D7982F" w:rsidR="006F2D07" w:rsidRPr="00E03087" w:rsidRDefault="006F2D07" w:rsidP="006F2D07">
      <w:pPr>
        <w:jc w:val="right"/>
      </w:pPr>
      <w:r w:rsidRPr="00844BFA">
        <w:rPr>
          <w:i/>
        </w:rPr>
        <w:t>Hernando Bermúdez Gómez</w:t>
      </w:r>
    </w:p>
    <w:sectPr w:rsidR="006F2D07" w:rsidRPr="00E03087" w:rsidSect="00586137">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7960" w14:textId="77777777" w:rsidR="003B4A99" w:rsidRDefault="003B4A99" w:rsidP="00EE7812">
      <w:pPr>
        <w:spacing w:after="0" w:line="240" w:lineRule="auto"/>
      </w:pPr>
      <w:r>
        <w:separator/>
      </w:r>
    </w:p>
  </w:endnote>
  <w:endnote w:type="continuationSeparator" w:id="0">
    <w:p w14:paraId="4FD595E7" w14:textId="77777777" w:rsidR="003B4A99" w:rsidRDefault="003B4A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A7E9" w14:textId="77777777" w:rsidR="007C70B0" w:rsidRDefault="007C70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51C7" w14:textId="77777777" w:rsidR="007C70B0" w:rsidRDefault="007C70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ED5" w14:textId="77777777" w:rsidR="003B4A99" w:rsidRDefault="003B4A99" w:rsidP="00EE7812">
      <w:pPr>
        <w:spacing w:after="0" w:line="240" w:lineRule="auto"/>
      </w:pPr>
      <w:r>
        <w:separator/>
      </w:r>
    </w:p>
  </w:footnote>
  <w:footnote w:type="continuationSeparator" w:id="0">
    <w:p w14:paraId="65D40A21" w14:textId="77777777" w:rsidR="003B4A99" w:rsidRDefault="003B4A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26C8" w14:textId="77777777" w:rsidR="007C70B0" w:rsidRDefault="007C70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0AAF13D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7C70B0">
      <w:t>5</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6FFB" w14:textId="77777777" w:rsidR="007C70B0" w:rsidRDefault="007C70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8813209">
    <w:abstractNumId w:val="0"/>
  </w:num>
  <w:num w:numId="2" w16cid:durableId="433717746">
    <w:abstractNumId w:val="21"/>
  </w:num>
  <w:num w:numId="3" w16cid:durableId="1261646643">
    <w:abstractNumId w:val="15"/>
  </w:num>
  <w:num w:numId="4" w16cid:durableId="1432970548">
    <w:abstractNumId w:val="2"/>
  </w:num>
  <w:num w:numId="5" w16cid:durableId="648364997">
    <w:abstractNumId w:val="20"/>
  </w:num>
  <w:num w:numId="6" w16cid:durableId="533227857">
    <w:abstractNumId w:val="35"/>
  </w:num>
  <w:num w:numId="7" w16cid:durableId="1309242336">
    <w:abstractNumId w:val="13"/>
  </w:num>
  <w:num w:numId="8" w16cid:durableId="289557875">
    <w:abstractNumId w:val="33"/>
  </w:num>
  <w:num w:numId="9" w16cid:durableId="1392848742">
    <w:abstractNumId w:val="38"/>
  </w:num>
  <w:num w:numId="10" w16cid:durableId="962224648">
    <w:abstractNumId w:val="4"/>
  </w:num>
  <w:num w:numId="11" w16cid:durableId="1058477208">
    <w:abstractNumId w:val="6"/>
  </w:num>
  <w:num w:numId="12" w16cid:durableId="920527472">
    <w:abstractNumId w:val="19"/>
  </w:num>
  <w:num w:numId="13" w16cid:durableId="175072999">
    <w:abstractNumId w:val="22"/>
  </w:num>
  <w:num w:numId="14" w16cid:durableId="1343439205">
    <w:abstractNumId w:val="32"/>
  </w:num>
  <w:num w:numId="15" w16cid:durableId="136537527">
    <w:abstractNumId w:val="9"/>
  </w:num>
  <w:num w:numId="16" w16cid:durableId="615521764">
    <w:abstractNumId w:val="7"/>
  </w:num>
  <w:num w:numId="17" w16cid:durableId="633566819">
    <w:abstractNumId w:val="17"/>
  </w:num>
  <w:num w:numId="18" w16cid:durableId="1438864104">
    <w:abstractNumId w:val="31"/>
  </w:num>
  <w:num w:numId="19" w16cid:durableId="761560746">
    <w:abstractNumId w:val="26"/>
  </w:num>
  <w:num w:numId="20" w16cid:durableId="1915624869">
    <w:abstractNumId w:val="8"/>
  </w:num>
  <w:num w:numId="21" w16cid:durableId="479078583">
    <w:abstractNumId w:val="27"/>
  </w:num>
  <w:num w:numId="22" w16cid:durableId="173112923">
    <w:abstractNumId w:val="28"/>
  </w:num>
  <w:num w:numId="23" w16cid:durableId="755827406">
    <w:abstractNumId w:val="29"/>
  </w:num>
  <w:num w:numId="24" w16cid:durableId="576984969">
    <w:abstractNumId w:val="34"/>
  </w:num>
  <w:num w:numId="25" w16cid:durableId="1876694949">
    <w:abstractNumId w:val="23"/>
  </w:num>
  <w:num w:numId="26" w16cid:durableId="560287958">
    <w:abstractNumId w:val="14"/>
  </w:num>
  <w:num w:numId="27" w16cid:durableId="195386176">
    <w:abstractNumId w:val="5"/>
  </w:num>
  <w:num w:numId="28" w16cid:durableId="1551073240">
    <w:abstractNumId w:val="24"/>
  </w:num>
  <w:num w:numId="29" w16cid:durableId="1938319822">
    <w:abstractNumId w:val="1"/>
  </w:num>
  <w:num w:numId="30" w16cid:durableId="133059937">
    <w:abstractNumId w:val="25"/>
  </w:num>
  <w:num w:numId="31" w16cid:durableId="1622299076">
    <w:abstractNumId w:val="30"/>
  </w:num>
  <w:num w:numId="32" w16cid:durableId="1567569494">
    <w:abstractNumId w:val="12"/>
  </w:num>
  <w:num w:numId="33" w16cid:durableId="2011712256">
    <w:abstractNumId w:val="18"/>
  </w:num>
  <w:num w:numId="34" w16cid:durableId="1907376519">
    <w:abstractNumId w:val="3"/>
  </w:num>
  <w:num w:numId="35" w16cid:durableId="369182405">
    <w:abstractNumId w:val="36"/>
  </w:num>
  <w:num w:numId="36" w16cid:durableId="393165593">
    <w:abstractNumId w:val="10"/>
  </w:num>
  <w:num w:numId="37" w16cid:durableId="1312634015">
    <w:abstractNumId w:val="11"/>
  </w:num>
  <w:num w:numId="38" w16cid:durableId="1946964445">
    <w:abstractNumId w:val="37"/>
  </w:num>
  <w:num w:numId="39" w16cid:durableId="19635605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5E0"/>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99"/>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8195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cc.gov.co/sites/default/files/2023-09/ACTA%20No.%20432%20DEL%2014%20DE%20AGOSTO%20DE%20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ountingmarketing.org/aam-announces-the-category-winners-of-the-2023-marketing-achievement-awar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e.rae.es/brochu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FBB65D02-7F1E-49BA-8BDA-4242E163039A}">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2023-09-16T19:58:00Z</dcterms:created>
  <dcterms:modified xsi:type="dcterms:W3CDTF">2023-09-16T19:58:00Z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