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F7BC" w14:textId="0A03271D" w:rsidR="008D2F8B" w:rsidRPr="008D2F8B" w:rsidRDefault="008D2F8B" w:rsidP="008D2F8B">
      <w:pPr>
        <w:keepNext/>
        <w:framePr w:dropCap="drop" w:lines="3" w:wrap="around" w:vAnchor="text" w:hAnchor="text"/>
        <w:spacing w:after="0" w:line="926" w:lineRule="exact"/>
        <w:textAlignment w:val="baseline"/>
        <w:rPr>
          <w:position w:val="-9"/>
          <w:sz w:val="123"/>
          <w:lang w:val="en-US"/>
        </w:rPr>
      </w:pPr>
      <w:r w:rsidRPr="008D2F8B">
        <w:rPr>
          <w:position w:val="-9"/>
          <w:sz w:val="123"/>
          <w:lang w:val="en-US"/>
        </w:rPr>
        <w:t>E</w:t>
      </w:r>
    </w:p>
    <w:p w14:paraId="0A89DF3B" w14:textId="6BD4BDD8" w:rsidR="00F807B2" w:rsidRDefault="008D2F8B" w:rsidP="00310942">
      <w:r w:rsidRPr="008D2F8B">
        <w:t xml:space="preserve">n un </w:t>
      </w:r>
      <w:hyperlink r:id="rId11" w:history="1">
        <w:r w:rsidRPr="008D2F8B">
          <w:rPr>
            <w:rStyle w:val="Hipervnculo"/>
          </w:rPr>
          <w:t>discurso</w:t>
        </w:r>
      </w:hyperlink>
      <w:r w:rsidRPr="008D2F8B">
        <w:t xml:space="preserve">, el presidente de IOSCO manifestó: “(…) </w:t>
      </w:r>
      <w:r w:rsidRPr="005A1CB0">
        <w:rPr>
          <w:i/>
          <w:iCs/>
          <w:lang w:val="en-US"/>
        </w:rPr>
        <w:t xml:space="preserve">Most of you will know that, a few weeks later, IOSCO reached an historic milestone when we announced our decision to endorse the ISSB standards as fit for purpose for financial markets. ―IOSCO’s endorsement decision calls on 130 member jurisdictions, which regulate more than 95% of the world's financial markets, to consider ways in which they might adopt, </w:t>
      </w:r>
      <w:proofErr w:type="gramStart"/>
      <w:r w:rsidRPr="005A1CB0">
        <w:rPr>
          <w:i/>
          <w:iCs/>
          <w:lang w:val="en-US"/>
        </w:rPr>
        <w:t>apply</w:t>
      </w:r>
      <w:proofErr w:type="gramEnd"/>
      <w:r w:rsidRPr="005A1CB0">
        <w:rPr>
          <w:i/>
          <w:iCs/>
          <w:lang w:val="en-US"/>
        </w:rPr>
        <w:t xml:space="preserve"> or otherwise be informed by the ISSB Standards. ―A few days later, the European Commission adopted the final set of its own</w:t>
      </w:r>
      <w:r w:rsidR="005A1CB0" w:rsidRPr="005A1CB0">
        <w:rPr>
          <w:i/>
          <w:iCs/>
          <w:lang w:val="en-US"/>
        </w:rPr>
        <w:t xml:space="preserve"> </w:t>
      </w:r>
      <w:r w:rsidRPr="005A1CB0">
        <w:rPr>
          <w:i/>
          <w:iCs/>
          <w:lang w:val="en-US"/>
        </w:rPr>
        <w:t>disclosure</w:t>
      </w:r>
      <w:r w:rsidR="005A1CB0" w:rsidRPr="005A1CB0">
        <w:rPr>
          <w:i/>
          <w:iCs/>
          <w:lang w:val="en-US"/>
        </w:rPr>
        <w:t xml:space="preserve"> </w:t>
      </w:r>
      <w:r w:rsidRPr="005A1CB0">
        <w:rPr>
          <w:i/>
          <w:iCs/>
          <w:lang w:val="en-US"/>
        </w:rPr>
        <w:t>requirements</w:t>
      </w:r>
      <w:r w:rsidR="005A1CB0" w:rsidRPr="005A1CB0">
        <w:rPr>
          <w:i/>
          <w:iCs/>
          <w:lang w:val="en-US"/>
        </w:rPr>
        <w:t xml:space="preserve"> </w:t>
      </w:r>
      <w:r w:rsidRPr="005A1CB0">
        <w:rPr>
          <w:i/>
          <w:iCs/>
          <w:lang w:val="en-US"/>
        </w:rPr>
        <w:t>(ESRS),</w:t>
      </w:r>
      <w:r w:rsidR="005A1CB0" w:rsidRPr="005A1CB0">
        <w:rPr>
          <w:i/>
          <w:iCs/>
          <w:lang w:val="en-US"/>
        </w:rPr>
        <w:t xml:space="preserve"> </w:t>
      </w:r>
      <w:r w:rsidRPr="005A1CB0">
        <w:rPr>
          <w:i/>
          <w:iCs/>
          <w:lang w:val="en-US"/>
        </w:rPr>
        <w:t>which</w:t>
      </w:r>
      <w:r w:rsidR="005A1CB0" w:rsidRPr="005A1CB0">
        <w:rPr>
          <w:i/>
          <w:iCs/>
          <w:lang w:val="en-US"/>
        </w:rPr>
        <w:t xml:space="preserve"> </w:t>
      </w:r>
      <w:r w:rsidRPr="005A1CB0">
        <w:rPr>
          <w:i/>
          <w:iCs/>
          <w:lang w:val="en-US"/>
        </w:rPr>
        <w:t>integrate</w:t>
      </w:r>
      <w:r w:rsidR="005A1CB0" w:rsidRPr="005A1CB0">
        <w:rPr>
          <w:i/>
          <w:iCs/>
          <w:lang w:val="en-US"/>
        </w:rPr>
        <w:t xml:space="preserve"> </w:t>
      </w:r>
      <w:r w:rsidRPr="005A1CB0">
        <w:rPr>
          <w:i/>
          <w:iCs/>
          <w:lang w:val="en-US"/>
        </w:rPr>
        <w:t>the</w:t>
      </w:r>
      <w:r w:rsidR="005A1CB0" w:rsidRPr="005A1CB0">
        <w:rPr>
          <w:i/>
          <w:iCs/>
          <w:lang w:val="en-US"/>
        </w:rPr>
        <w:t xml:space="preserve"> </w:t>
      </w:r>
      <w:r w:rsidRPr="005A1CB0">
        <w:rPr>
          <w:i/>
          <w:iCs/>
          <w:lang w:val="en-US"/>
        </w:rPr>
        <w:t>ISSB standards, in line with IOSCO’s endorsement decision.</w:t>
      </w:r>
      <w:r>
        <w:rPr>
          <w:lang w:val="en-US"/>
        </w:rPr>
        <w:t xml:space="preserve"> </w:t>
      </w:r>
      <w:r w:rsidRPr="00624D89">
        <w:t>(…)”</w:t>
      </w:r>
      <w:r w:rsidR="005A1CB0" w:rsidRPr="00624D89">
        <w:t xml:space="preserve"> Muchos avances del antiguo I</w:t>
      </w:r>
      <w:r w:rsidR="00624D89" w:rsidRPr="00624D89">
        <w:t>ASC y del actual IASB se d</w:t>
      </w:r>
      <w:r w:rsidR="00624D89">
        <w:t>eben al empuje de IOSCO. Por lo tanto</w:t>
      </w:r>
      <w:r w:rsidR="00441FDA">
        <w:t>,</w:t>
      </w:r>
      <w:r w:rsidR="00624D89">
        <w:t xml:space="preserve"> hay que esperar que se produzca el mismo efecto en materia de revelaciones sobre la sostenibilidad en los estados financieros.</w:t>
      </w:r>
      <w:r w:rsidR="00310942">
        <w:t xml:space="preserve"> </w:t>
      </w:r>
      <w:r w:rsidR="00310942" w:rsidRPr="00310942">
        <w:rPr>
          <w:lang w:val="en-US"/>
        </w:rPr>
        <w:t xml:space="preserve">Luego </w:t>
      </w:r>
      <w:proofErr w:type="spellStart"/>
      <w:r w:rsidR="00310942" w:rsidRPr="00310942">
        <w:rPr>
          <w:lang w:val="en-US"/>
        </w:rPr>
        <w:t>manifestó</w:t>
      </w:r>
      <w:proofErr w:type="spellEnd"/>
      <w:r w:rsidR="00310942" w:rsidRPr="00310942">
        <w:rPr>
          <w:lang w:val="en-US"/>
        </w:rPr>
        <w:t xml:space="preserve">: (…) </w:t>
      </w:r>
      <w:r w:rsidR="00310942" w:rsidRPr="00310942">
        <w:rPr>
          <w:i/>
          <w:iCs/>
          <w:lang w:val="en-US"/>
        </w:rPr>
        <w:t xml:space="preserve">In this respect, you can be assured that IOSCO will roll out an extensive capacity-building </w:t>
      </w:r>
      <w:proofErr w:type="spellStart"/>
      <w:r w:rsidR="00310942" w:rsidRPr="00310942">
        <w:rPr>
          <w:i/>
          <w:iCs/>
          <w:lang w:val="en-US"/>
        </w:rPr>
        <w:t>programme</w:t>
      </w:r>
      <w:proofErr w:type="spellEnd"/>
      <w:r w:rsidR="00310942" w:rsidRPr="00310942">
        <w:rPr>
          <w:i/>
          <w:iCs/>
          <w:lang w:val="en-US"/>
        </w:rPr>
        <w:t xml:space="preserve">. IOSCO will also put its weight behind the development, by 2024, of </w:t>
      </w:r>
      <w:proofErr w:type="gramStart"/>
      <w:r w:rsidR="00310942" w:rsidRPr="00310942">
        <w:rPr>
          <w:i/>
          <w:iCs/>
          <w:lang w:val="en-US"/>
        </w:rPr>
        <w:t>high quality</w:t>
      </w:r>
      <w:proofErr w:type="gramEnd"/>
      <w:r w:rsidR="00310942" w:rsidRPr="00310942">
        <w:rPr>
          <w:i/>
          <w:iCs/>
          <w:lang w:val="en-US"/>
        </w:rPr>
        <w:t xml:space="preserve"> standards for Assurance of sustainability-related information to enhance their trustworthiness</w:t>
      </w:r>
      <w:r w:rsidR="00310942" w:rsidRPr="00310942">
        <w:rPr>
          <w:lang w:val="en-US"/>
        </w:rPr>
        <w:t>.</w:t>
      </w:r>
      <w:r w:rsidR="00310942">
        <w:rPr>
          <w:lang w:val="en-US"/>
        </w:rPr>
        <w:t xml:space="preserve"> </w:t>
      </w:r>
      <w:r w:rsidR="00310942" w:rsidRPr="00310942">
        <w:t>(…)” Colombia es un país con baja capacidad para produc</w:t>
      </w:r>
      <w:r w:rsidR="00310942">
        <w:t>i</w:t>
      </w:r>
      <w:r w:rsidR="00310942" w:rsidRPr="00310942">
        <w:t>r información c</w:t>
      </w:r>
      <w:r w:rsidR="00310942">
        <w:t xml:space="preserve">ontable y financiera de alta calidad. Sin embargo, parece que nadie está trabajando en este asunto, que es la base del desarrollo en la materia. Como es de esperar, nuestro pequeño pero consentido sector financiero será empujado a seguir el comportamiento internacional, que será seguido por todos los que los sirven, incluidos los aseguradores de la información. </w:t>
      </w:r>
      <w:r w:rsidR="005800E2">
        <w:t xml:space="preserve">Otra vez nos quedaremos con el inmenso </w:t>
      </w:r>
      <w:r w:rsidR="005800E2">
        <w:t>saldo de empresas sin saber cómo hacer lo que hay que hacer. Vamos a ver si el Consejo Técnico de la Contaduría Pública logra asumir con rigor, debida y oportunamente este nuevo reto. Hasta ahora lo que hemos podido hacer es copiar.</w:t>
      </w:r>
      <w:r w:rsidR="00963435">
        <w:t xml:space="preserve"> Es curioso que Colombia tenga tantos “expertos en sostenibilidad” sin </w:t>
      </w:r>
      <w:r w:rsidR="00DC70AF">
        <w:t xml:space="preserve">expresiones objetivas que lo comprueben. </w:t>
      </w:r>
      <w:r w:rsidR="00F848CF">
        <w:t xml:space="preserve">El camino sobre la información cuyo objeto es la sostenibilidad, que empuja la contabilidad hacia la información no financiera, es un nuevo esfuerzo de muchos, entre ellos los contadores, para que se atienda a nuevos horizontes y, de paso, se amplíen los mercados de servicios profesionales. Serán estos lo que verdaderamente podrán hacer lo necesario para que este camino sea próspero. Este proceso mejorará las posibilidades para adoptar el llamado informe integral, pues hará posible que las personas aprendan a informar sobre cuestiones no financieras, como el medio ambiente, las cuestiones sociales y la gobernanza. Durante siglos la contabilidad y la contaduría se han reinventado. Estamos seguros </w:t>
      </w:r>
      <w:r w:rsidR="001D781B">
        <w:t>de que</w:t>
      </w:r>
      <w:r w:rsidR="00F848CF">
        <w:t xml:space="preserve"> eso está haciendo y lo seguirá procurando en el futuro.</w:t>
      </w:r>
      <w:r w:rsidR="001D781B">
        <w:t xml:space="preserve"> En esto ocupan mucho de su tiempo los empresarios contables, que no son todos los contadores sino los que están empeñados en hacer de las firmas grandes empresas.</w:t>
      </w:r>
      <w:r w:rsidR="008A3A34">
        <w:t xml:space="preserve"> Es sencillo: los que no boten el lazo lejos no llegarán a ninguna parte distinta de donde están.</w:t>
      </w:r>
      <w:r w:rsidR="00757243">
        <w:t xml:space="preserve"> Los problemas medioambientales fueron advertidos por nuestros indígenas y nosotros seguimos considerándolos como entelequias. El capitalismo aconseja cerrar los ojos.</w:t>
      </w:r>
    </w:p>
    <w:p w14:paraId="6EE2D45F" w14:textId="6DCF60CE" w:rsidR="00757243" w:rsidRPr="00310942" w:rsidRDefault="00757243" w:rsidP="00757243">
      <w:pPr>
        <w:jc w:val="right"/>
      </w:pPr>
      <w:r w:rsidRPr="003C4ED4">
        <w:rPr>
          <w:i/>
          <w:iCs/>
        </w:rPr>
        <w:t>Hernando Bermúdez Gómez</w:t>
      </w:r>
    </w:p>
    <w:sectPr w:rsidR="00757243" w:rsidRPr="0031094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713E" w14:textId="77777777" w:rsidR="00CD052A" w:rsidRDefault="00CD052A" w:rsidP="00EE7812">
      <w:pPr>
        <w:spacing w:after="0" w:line="240" w:lineRule="auto"/>
      </w:pPr>
      <w:r>
        <w:separator/>
      </w:r>
    </w:p>
  </w:endnote>
  <w:endnote w:type="continuationSeparator" w:id="0">
    <w:p w14:paraId="4C55725A" w14:textId="77777777" w:rsidR="00CD052A" w:rsidRDefault="00CD05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63B0" w14:textId="77777777" w:rsidR="00CD052A" w:rsidRDefault="00CD052A" w:rsidP="00EE7812">
      <w:pPr>
        <w:spacing w:after="0" w:line="240" w:lineRule="auto"/>
      </w:pPr>
      <w:r>
        <w:separator/>
      </w:r>
    </w:p>
  </w:footnote>
  <w:footnote w:type="continuationSeparator" w:id="0">
    <w:p w14:paraId="4236238A" w14:textId="77777777" w:rsidR="00CD052A" w:rsidRDefault="00CD05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60E234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6A3970">
      <w:t>30</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1971392">
    <w:abstractNumId w:val="0"/>
  </w:num>
  <w:num w:numId="2" w16cid:durableId="1885095273">
    <w:abstractNumId w:val="21"/>
  </w:num>
  <w:num w:numId="3" w16cid:durableId="1010252649">
    <w:abstractNumId w:val="15"/>
  </w:num>
  <w:num w:numId="4" w16cid:durableId="709916436">
    <w:abstractNumId w:val="2"/>
  </w:num>
  <w:num w:numId="5" w16cid:durableId="976835226">
    <w:abstractNumId w:val="20"/>
  </w:num>
  <w:num w:numId="6" w16cid:durableId="365447880">
    <w:abstractNumId w:val="35"/>
  </w:num>
  <w:num w:numId="7" w16cid:durableId="1122454352">
    <w:abstractNumId w:val="13"/>
  </w:num>
  <w:num w:numId="8" w16cid:durableId="233317244">
    <w:abstractNumId w:val="33"/>
  </w:num>
  <w:num w:numId="9" w16cid:durableId="1373994144">
    <w:abstractNumId w:val="38"/>
  </w:num>
  <w:num w:numId="10" w16cid:durableId="1701590715">
    <w:abstractNumId w:val="4"/>
  </w:num>
  <w:num w:numId="11" w16cid:durableId="1938899316">
    <w:abstractNumId w:val="6"/>
  </w:num>
  <w:num w:numId="12" w16cid:durableId="116996828">
    <w:abstractNumId w:val="19"/>
  </w:num>
  <w:num w:numId="13" w16cid:durableId="545414427">
    <w:abstractNumId w:val="22"/>
  </w:num>
  <w:num w:numId="14" w16cid:durableId="1331710502">
    <w:abstractNumId w:val="32"/>
  </w:num>
  <w:num w:numId="15" w16cid:durableId="370423484">
    <w:abstractNumId w:val="9"/>
  </w:num>
  <w:num w:numId="16" w16cid:durableId="866453171">
    <w:abstractNumId w:val="7"/>
  </w:num>
  <w:num w:numId="17" w16cid:durableId="559361165">
    <w:abstractNumId w:val="17"/>
  </w:num>
  <w:num w:numId="18" w16cid:durableId="1751657388">
    <w:abstractNumId w:val="31"/>
  </w:num>
  <w:num w:numId="19" w16cid:durableId="456874293">
    <w:abstractNumId w:val="26"/>
  </w:num>
  <w:num w:numId="20" w16cid:durableId="1496996914">
    <w:abstractNumId w:val="8"/>
  </w:num>
  <w:num w:numId="21" w16cid:durableId="800418140">
    <w:abstractNumId w:val="27"/>
  </w:num>
  <w:num w:numId="22" w16cid:durableId="372927827">
    <w:abstractNumId w:val="28"/>
  </w:num>
  <w:num w:numId="23" w16cid:durableId="1408189571">
    <w:abstractNumId w:val="29"/>
  </w:num>
  <w:num w:numId="24" w16cid:durableId="2086681603">
    <w:abstractNumId w:val="34"/>
  </w:num>
  <w:num w:numId="25" w16cid:durableId="356809354">
    <w:abstractNumId w:val="23"/>
  </w:num>
  <w:num w:numId="26" w16cid:durableId="1265531301">
    <w:abstractNumId w:val="14"/>
  </w:num>
  <w:num w:numId="27" w16cid:durableId="2012486257">
    <w:abstractNumId w:val="5"/>
  </w:num>
  <w:num w:numId="28" w16cid:durableId="687294144">
    <w:abstractNumId w:val="24"/>
  </w:num>
  <w:num w:numId="29" w16cid:durableId="1381784656">
    <w:abstractNumId w:val="1"/>
  </w:num>
  <w:num w:numId="30" w16cid:durableId="1338191680">
    <w:abstractNumId w:val="25"/>
  </w:num>
  <w:num w:numId="31" w16cid:durableId="1853296612">
    <w:abstractNumId w:val="30"/>
  </w:num>
  <w:num w:numId="32" w16cid:durableId="1707097155">
    <w:abstractNumId w:val="12"/>
  </w:num>
  <w:num w:numId="33" w16cid:durableId="850337784">
    <w:abstractNumId w:val="18"/>
  </w:num>
  <w:num w:numId="34" w16cid:durableId="219677205">
    <w:abstractNumId w:val="3"/>
  </w:num>
  <w:num w:numId="35" w16cid:durableId="1968730262">
    <w:abstractNumId w:val="36"/>
  </w:num>
  <w:num w:numId="36" w16cid:durableId="1090856303">
    <w:abstractNumId w:val="10"/>
  </w:num>
  <w:num w:numId="37" w16cid:durableId="1712606466">
    <w:abstractNumId w:val="11"/>
  </w:num>
  <w:num w:numId="38" w16cid:durableId="1071394025">
    <w:abstractNumId w:val="37"/>
  </w:num>
  <w:num w:numId="39" w16cid:durableId="10133426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8"/>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4"/>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2A"/>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sco.org/library/speeches/pdf/20230913-Jean-Paul-Servai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65D02-7F1E-49BA-8BDA-4242E163039A}">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2023-09-22T20:36:00Z</dcterms:created>
  <dcterms:modified xsi:type="dcterms:W3CDTF">2023-09-22T20:36:00Z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