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557" w14:textId="6AFDECA1" w:rsidR="009E764A" w:rsidRPr="009E764A" w:rsidRDefault="009E764A" w:rsidP="009E764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E764A">
        <w:rPr>
          <w:position w:val="-9"/>
          <w:sz w:val="123"/>
        </w:rPr>
        <w:t>D</w:t>
      </w:r>
    </w:p>
    <w:p w14:paraId="47B476F1" w14:textId="6FD93767" w:rsidR="005457B4" w:rsidRDefault="00C65F35" w:rsidP="00C65F35">
      <w:r>
        <w:t xml:space="preserve">emostrando cómo opera actualmente la globalidad, la </w:t>
      </w:r>
      <w:r w:rsidR="009E764A" w:rsidRPr="009E764A">
        <w:rPr>
          <w:i/>
        </w:rPr>
        <w:t>I</w:t>
      </w:r>
      <w:r w:rsidRPr="009E764A">
        <w:rPr>
          <w:i/>
        </w:rPr>
        <w:t xml:space="preserve">nternational </w:t>
      </w:r>
      <w:proofErr w:type="spellStart"/>
      <w:r w:rsidRPr="009E764A">
        <w:rPr>
          <w:i/>
        </w:rPr>
        <w:t>Sustainability</w:t>
      </w:r>
      <w:proofErr w:type="spellEnd"/>
      <w:r w:rsidRPr="009E764A">
        <w:rPr>
          <w:i/>
        </w:rPr>
        <w:t xml:space="preserve"> </w:t>
      </w:r>
      <w:proofErr w:type="spellStart"/>
      <w:r w:rsidRPr="009E764A">
        <w:rPr>
          <w:i/>
        </w:rPr>
        <w:t>Standards</w:t>
      </w:r>
      <w:proofErr w:type="spellEnd"/>
      <w:r w:rsidRPr="009E764A">
        <w:rPr>
          <w:i/>
        </w:rPr>
        <w:t xml:space="preserve"> </w:t>
      </w:r>
      <w:proofErr w:type="spellStart"/>
      <w:r w:rsidRPr="009E764A">
        <w:rPr>
          <w:i/>
        </w:rPr>
        <w:t>Board</w:t>
      </w:r>
      <w:proofErr w:type="spellEnd"/>
      <w:r w:rsidRPr="00C65F35">
        <w:t xml:space="preserve"> (ISSB)</w:t>
      </w:r>
      <w:r>
        <w:t xml:space="preserve"> </w:t>
      </w:r>
      <w:hyperlink r:id="rId11" w:history="1">
        <w:r w:rsidR="009E764A" w:rsidRPr="009E764A">
          <w:rPr>
            <w:rStyle w:val="Hipervnculo"/>
          </w:rPr>
          <w:t>llevó a cabo una consulta</w:t>
        </w:r>
      </w:hyperlink>
      <w:r w:rsidR="009E764A">
        <w:t xml:space="preserve"> para establecer la </w:t>
      </w:r>
      <w:proofErr w:type="spellStart"/>
      <w:r w:rsidR="009E764A" w:rsidRPr="009E764A">
        <w:rPr>
          <w:i/>
        </w:rPr>
        <w:t>Methodology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for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Enhancing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International </w:t>
      </w:r>
      <w:proofErr w:type="spellStart"/>
      <w:r w:rsidR="009E764A" w:rsidRPr="009E764A">
        <w:rPr>
          <w:i/>
        </w:rPr>
        <w:t>Applicability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of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SASB </w:t>
      </w:r>
      <w:proofErr w:type="spellStart"/>
      <w:r w:rsidR="009E764A" w:rsidRPr="009E764A">
        <w:rPr>
          <w:i/>
        </w:rPr>
        <w:t>Standards</w:t>
      </w:r>
      <w:proofErr w:type="spellEnd"/>
      <w:r w:rsidR="009E764A" w:rsidRPr="009E764A">
        <w:rPr>
          <w:i/>
        </w:rPr>
        <w:t xml:space="preserve"> and SASB </w:t>
      </w:r>
      <w:proofErr w:type="spellStart"/>
      <w:r w:rsidR="009E764A" w:rsidRPr="009E764A">
        <w:rPr>
          <w:i/>
        </w:rPr>
        <w:t>Standards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Taxonomy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Updates</w:t>
      </w:r>
      <w:proofErr w:type="spellEnd"/>
      <w:r w:rsidR="009E764A">
        <w:t xml:space="preserve">. </w:t>
      </w:r>
      <w:hyperlink r:id="rId12" w:anchor="about" w:history="1">
        <w:r w:rsidR="009E764A" w:rsidRPr="009E764A">
          <w:rPr>
            <w:rStyle w:val="Hipervnculo"/>
          </w:rPr>
          <w:t>Recordamos que</w:t>
        </w:r>
      </w:hyperlink>
      <w:r w:rsidR="009E764A">
        <w:t xml:space="preserve"> “</w:t>
      </w:r>
      <w:r w:rsidR="009E764A" w:rsidRPr="009E764A">
        <w:rPr>
          <w:i/>
        </w:rPr>
        <w:t xml:space="preserve">Following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consolidation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of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Value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Reporting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Foundation</w:t>
      </w:r>
      <w:proofErr w:type="spellEnd"/>
      <w:r w:rsidR="009E764A" w:rsidRPr="009E764A">
        <w:rPr>
          <w:i/>
        </w:rPr>
        <w:t xml:space="preserve"> (VRF) </w:t>
      </w:r>
      <w:proofErr w:type="spellStart"/>
      <w:r w:rsidR="009E764A" w:rsidRPr="009E764A">
        <w:rPr>
          <w:i/>
        </w:rPr>
        <w:t>with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IFRS </w:t>
      </w:r>
      <w:proofErr w:type="spellStart"/>
      <w:r w:rsidR="009E764A" w:rsidRPr="009E764A">
        <w:rPr>
          <w:i/>
        </w:rPr>
        <w:t>Foundation</w:t>
      </w:r>
      <w:proofErr w:type="spellEnd"/>
      <w:r w:rsidR="009E764A" w:rsidRPr="009E764A">
        <w:rPr>
          <w:i/>
        </w:rPr>
        <w:t xml:space="preserve">,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ISSB </w:t>
      </w:r>
      <w:proofErr w:type="spellStart"/>
      <w:r w:rsidR="009E764A" w:rsidRPr="009E764A">
        <w:rPr>
          <w:i/>
        </w:rPr>
        <w:t>is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responsible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for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maintenance</w:t>
      </w:r>
      <w:proofErr w:type="spellEnd"/>
      <w:r w:rsidR="009E764A" w:rsidRPr="009E764A">
        <w:rPr>
          <w:i/>
        </w:rPr>
        <w:t xml:space="preserve"> and </w:t>
      </w:r>
      <w:proofErr w:type="spellStart"/>
      <w:r w:rsidR="009E764A" w:rsidRPr="009E764A">
        <w:rPr>
          <w:i/>
        </w:rPr>
        <w:t>enhancement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of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SASB </w:t>
      </w:r>
      <w:proofErr w:type="spellStart"/>
      <w:r w:rsidR="009E764A" w:rsidRPr="009E764A">
        <w:rPr>
          <w:i/>
        </w:rPr>
        <w:t>Standards</w:t>
      </w:r>
      <w:proofErr w:type="spellEnd"/>
      <w:r w:rsidR="009E764A" w:rsidRPr="009E764A">
        <w:rPr>
          <w:i/>
        </w:rPr>
        <w:t xml:space="preserve">. A </w:t>
      </w:r>
      <w:proofErr w:type="spellStart"/>
      <w:r w:rsidR="009E764A" w:rsidRPr="009E764A">
        <w:rPr>
          <w:i/>
        </w:rPr>
        <w:t>small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subset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of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SASB </w:t>
      </w:r>
      <w:proofErr w:type="spellStart"/>
      <w:r w:rsidR="009E764A" w:rsidRPr="009E764A">
        <w:rPr>
          <w:i/>
        </w:rPr>
        <w:t>Standards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incorporate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references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to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jurisdiction-specific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laws</w:t>
      </w:r>
      <w:proofErr w:type="spellEnd"/>
      <w:r w:rsidR="009E764A" w:rsidRPr="009E764A">
        <w:rPr>
          <w:i/>
        </w:rPr>
        <w:t xml:space="preserve"> and </w:t>
      </w:r>
      <w:proofErr w:type="spellStart"/>
      <w:r w:rsidR="009E764A" w:rsidRPr="009E764A">
        <w:rPr>
          <w:i/>
        </w:rPr>
        <w:t>regulations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which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may</w:t>
      </w:r>
      <w:proofErr w:type="spellEnd"/>
      <w:r w:rsidR="009E764A" w:rsidRPr="009E764A">
        <w:rPr>
          <w:i/>
        </w:rPr>
        <w:t xml:space="preserve"> be </w:t>
      </w:r>
      <w:proofErr w:type="spellStart"/>
      <w:r w:rsidR="009E764A" w:rsidRPr="009E764A">
        <w:rPr>
          <w:i/>
        </w:rPr>
        <w:t>globally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inapplicable</w:t>
      </w:r>
      <w:proofErr w:type="spellEnd"/>
      <w:r w:rsidR="009E764A" w:rsidRPr="009E764A">
        <w:rPr>
          <w:i/>
        </w:rPr>
        <w:t xml:space="preserve">, introduce regional </w:t>
      </w:r>
      <w:proofErr w:type="spellStart"/>
      <w:r w:rsidR="009E764A" w:rsidRPr="009E764A">
        <w:rPr>
          <w:i/>
        </w:rPr>
        <w:t>bias</w:t>
      </w:r>
      <w:proofErr w:type="spellEnd"/>
      <w:r w:rsidR="009E764A" w:rsidRPr="009E764A">
        <w:rPr>
          <w:i/>
        </w:rPr>
        <w:t xml:space="preserve">, </w:t>
      </w:r>
      <w:proofErr w:type="spellStart"/>
      <w:r w:rsidR="009E764A" w:rsidRPr="009E764A">
        <w:rPr>
          <w:i/>
        </w:rPr>
        <w:t>increase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application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costs</w:t>
      </w:r>
      <w:proofErr w:type="spellEnd"/>
      <w:r w:rsidR="009E764A" w:rsidRPr="009E764A">
        <w:rPr>
          <w:i/>
        </w:rPr>
        <w:t xml:space="preserve"> and </w:t>
      </w:r>
      <w:proofErr w:type="spellStart"/>
      <w:r w:rsidR="009E764A" w:rsidRPr="009E764A">
        <w:rPr>
          <w:i/>
        </w:rPr>
        <w:t>decrease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comparability</w:t>
      </w:r>
      <w:proofErr w:type="spellEnd"/>
      <w:r w:rsidR="009E764A" w:rsidRPr="009E764A">
        <w:rPr>
          <w:i/>
        </w:rPr>
        <w:t xml:space="preserve"> and </w:t>
      </w:r>
      <w:proofErr w:type="spellStart"/>
      <w:r w:rsidR="009E764A" w:rsidRPr="009E764A">
        <w:rPr>
          <w:i/>
        </w:rPr>
        <w:t>decision-usefulness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of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the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resulting</w:t>
      </w:r>
      <w:proofErr w:type="spellEnd"/>
      <w:r w:rsidR="009E764A" w:rsidRPr="009E764A">
        <w:rPr>
          <w:i/>
        </w:rPr>
        <w:t xml:space="preserve"> </w:t>
      </w:r>
      <w:proofErr w:type="spellStart"/>
      <w:r w:rsidR="009E764A" w:rsidRPr="009E764A">
        <w:rPr>
          <w:i/>
        </w:rPr>
        <w:t>disclosures</w:t>
      </w:r>
      <w:proofErr w:type="spellEnd"/>
      <w:r w:rsidR="009E764A" w:rsidRPr="009E764A">
        <w:rPr>
          <w:i/>
        </w:rPr>
        <w:t>.</w:t>
      </w:r>
      <w:r w:rsidR="009E764A">
        <w:t>”</w:t>
      </w:r>
      <w:r w:rsidR="003D6DF9">
        <w:t xml:space="preserve"> Hubo “</w:t>
      </w:r>
      <w:r w:rsidR="003D6DF9" w:rsidRPr="003D6DF9">
        <w:rPr>
          <w:i/>
        </w:rPr>
        <w:t xml:space="preserve">148 responses </w:t>
      </w:r>
      <w:proofErr w:type="spellStart"/>
      <w:r w:rsidR="003D6DF9" w:rsidRPr="003D6DF9">
        <w:rPr>
          <w:i/>
        </w:rPr>
        <w:t>from</w:t>
      </w:r>
      <w:proofErr w:type="spellEnd"/>
      <w:r w:rsidR="003D6DF9" w:rsidRPr="003D6DF9">
        <w:rPr>
          <w:i/>
        </w:rPr>
        <w:t xml:space="preserve"> 138 </w:t>
      </w:r>
      <w:proofErr w:type="spellStart"/>
      <w:r w:rsidR="003D6DF9" w:rsidRPr="003D6DF9">
        <w:rPr>
          <w:i/>
        </w:rPr>
        <w:t>unique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respondents</w:t>
      </w:r>
      <w:proofErr w:type="spellEnd"/>
      <w:r w:rsidR="003D6DF9">
        <w:t>”, de los cuales el mayor grupo fue el compuesto por Asia y Oceanía con un 32%. Considerando los respondientes desde el punto de vista de su calidad, la mayoría fueron preparadores (31%). Solo participaron 3 academias y un estudiante</w:t>
      </w:r>
      <w:hyperlink r:id="rId13" w:history="1">
        <w:r w:rsidR="003D6DF9" w:rsidRPr="003D6DF9">
          <w:rPr>
            <w:rStyle w:val="Hipervnculo"/>
          </w:rPr>
          <w:t>. Ahora bien</w:t>
        </w:r>
      </w:hyperlink>
      <w:r w:rsidR="003D6DF9">
        <w:t>: “</w:t>
      </w:r>
      <w:r w:rsidR="003D6DF9" w:rsidRPr="003D6DF9">
        <w:rPr>
          <w:i/>
        </w:rPr>
        <w:t xml:space="preserve">SASB </w:t>
      </w:r>
      <w:proofErr w:type="spellStart"/>
      <w:r w:rsidR="003D6DF9" w:rsidRPr="003D6DF9">
        <w:rPr>
          <w:i/>
        </w:rPr>
        <w:t>was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founded</w:t>
      </w:r>
      <w:proofErr w:type="spellEnd"/>
      <w:r w:rsidR="003D6DF9" w:rsidRPr="003D6DF9">
        <w:rPr>
          <w:i/>
        </w:rPr>
        <w:t xml:space="preserve"> as a </w:t>
      </w:r>
      <w:proofErr w:type="spellStart"/>
      <w:r w:rsidR="003D6DF9" w:rsidRPr="003D6DF9">
        <w:rPr>
          <w:i/>
        </w:rPr>
        <w:t>nonprofit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organisation</w:t>
      </w:r>
      <w:proofErr w:type="spellEnd"/>
      <w:r w:rsidR="003D6DF9" w:rsidRPr="003D6DF9">
        <w:rPr>
          <w:i/>
        </w:rPr>
        <w:t xml:space="preserve"> in 2011 </w:t>
      </w:r>
      <w:proofErr w:type="spellStart"/>
      <w:r w:rsidR="003D6DF9" w:rsidRPr="003D6DF9">
        <w:rPr>
          <w:i/>
        </w:rPr>
        <w:t>to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help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businesses</w:t>
      </w:r>
      <w:proofErr w:type="spellEnd"/>
      <w:r w:rsidR="003D6DF9" w:rsidRPr="003D6DF9">
        <w:rPr>
          <w:i/>
        </w:rPr>
        <w:t xml:space="preserve"> and </w:t>
      </w:r>
      <w:proofErr w:type="spellStart"/>
      <w:r w:rsidR="003D6DF9" w:rsidRPr="003D6DF9">
        <w:rPr>
          <w:i/>
        </w:rPr>
        <w:t>investors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develop</w:t>
      </w:r>
      <w:proofErr w:type="spellEnd"/>
      <w:r w:rsidR="003D6DF9" w:rsidRPr="003D6DF9">
        <w:rPr>
          <w:i/>
        </w:rPr>
        <w:t xml:space="preserve"> a </w:t>
      </w:r>
      <w:proofErr w:type="spellStart"/>
      <w:r w:rsidR="003D6DF9" w:rsidRPr="003D6DF9">
        <w:rPr>
          <w:i/>
        </w:rPr>
        <w:t>common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language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about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financial </w:t>
      </w:r>
      <w:proofErr w:type="spellStart"/>
      <w:r w:rsidR="003D6DF9" w:rsidRPr="003D6DF9">
        <w:rPr>
          <w:i/>
        </w:rPr>
        <w:t>impacts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of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sustainability</w:t>
      </w:r>
      <w:proofErr w:type="spellEnd"/>
      <w:r w:rsidR="003D6DF9" w:rsidRPr="003D6DF9">
        <w:rPr>
          <w:i/>
        </w:rPr>
        <w:t xml:space="preserve">. </w:t>
      </w:r>
      <w:proofErr w:type="spellStart"/>
      <w:r w:rsidR="003D6DF9" w:rsidRPr="003D6DF9">
        <w:rPr>
          <w:i/>
        </w:rPr>
        <w:t>Over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years</w:t>
      </w:r>
      <w:proofErr w:type="spellEnd"/>
      <w:r w:rsidR="003D6DF9" w:rsidRPr="003D6DF9">
        <w:rPr>
          <w:i/>
        </w:rPr>
        <w:t xml:space="preserve">,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corporate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sustainability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disclosure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landscape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became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very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complex</w:t>
      </w:r>
      <w:proofErr w:type="spellEnd"/>
      <w:r w:rsidR="003D6DF9" w:rsidRPr="003D6DF9">
        <w:rPr>
          <w:i/>
        </w:rPr>
        <w:t xml:space="preserve">. </w:t>
      </w:r>
      <w:proofErr w:type="spellStart"/>
      <w:r w:rsidR="003D6DF9" w:rsidRPr="003D6DF9">
        <w:rPr>
          <w:i/>
        </w:rPr>
        <w:t>Many</w:t>
      </w:r>
      <w:proofErr w:type="spellEnd"/>
      <w:r w:rsidR="003D6DF9" w:rsidRPr="003D6DF9">
        <w:rPr>
          <w:i/>
        </w:rPr>
        <w:t xml:space="preserve"> global </w:t>
      </w:r>
      <w:proofErr w:type="spellStart"/>
      <w:r w:rsidR="003D6DF9" w:rsidRPr="003D6DF9">
        <w:rPr>
          <w:i/>
        </w:rPr>
        <w:t>businesses</w:t>
      </w:r>
      <w:proofErr w:type="spellEnd"/>
      <w:r w:rsidR="003D6DF9" w:rsidRPr="003D6DF9">
        <w:rPr>
          <w:i/>
        </w:rPr>
        <w:t xml:space="preserve"> and </w:t>
      </w:r>
      <w:proofErr w:type="spellStart"/>
      <w:r w:rsidR="003D6DF9" w:rsidRPr="003D6DF9">
        <w:rPr>
          <w:i/>
        </w:rPr>
        <w:t>investors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called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for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simplification</w:t>
      </w:r>
      <w:proofErr w:type="spellEnd"/>
      <w:r w:rsidR="003D6DF9" w:rsidRPr="003D6DF9">
        <w:rPr>
          <w:i/>
        </w:rPr>
        <w:t xml:space="preserve"> and </w:t>
      </w:r>
      <w:proofErr w:type="spellStart"/>
      <w:r w:rsidR="003D6DF9" w:rsidRPr="003D6DF9">
        <w:rPr>
          <w:i/>
        </w:rPr>
        <w:t>clarity</w:t>
      </w:r>
      <w:proofErr w:type="spellEnd"/>
      <w:r w:rsidR="003D6DF9" w:rsidRPr="003D6DF9">
        <w:rPr>
          <w:i/>
        </w:rPr>
        <w:t xml:space="preserve"> in </w:t>
      </w:r>
      <w:proofErr w:type="spellStart"/>
      <w:r w:rsidR="003D6DF9" w:rsidRPr="003D6DF9">
        <w:rPr>
          <w:i/>
        </w:rPr>
        <w:t>this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landscape</w:t>
      </w:r>
      <w:proofErr w:type="spellEnd"/>
      <w:r w:rsidR="003D6DF9" w:rsidRPr="003D6DF9">
        <w:rPr>
          <w:i/>
        </w:rPr>
        <w:t xml:space="preserve">. In response, in </w:t>
      </w:r>
      <w:proofErr w:type="spellStart"/>
      <w:r w:rsidR="003D6DF9" w:rsidRPr="003D6DF9">
        <w:rPr>
          <w:i/>
        </w:rPr>
        <w:t>November</w:t>
      </w:r>
      <w:proofErr w:type="spellEnd"/>
      <w:r w:rsidR="003D6DF9" w:rsidRPr="003D6DF9">
        <w:rPr>
          <w:i/>
        </w:rPr>
        <w:t xml:space="preserve"> 2020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International </w:t>
      </w:r>
      <w:proofErr w:type="spellStart"/>
      <w:r w:rsidR="003D6DF9" w:rsidRPr="003D6DF9">
        <w:rPr>
          <w:i/>
        </w:rPr>
        <w:t>Integrated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Reporting</w:t>
      </w:r>
      <w:proofErr w:type="spellEnd"/>
      <w:r w:rsidR="003D6DF9" w:rsidRPr="003D6DF9">
        <w:rPr>
          <w:i/>
        </w:rPr>
        <w:t xml:space="preserve"> Council (IIRC) and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Sustainability</w:t>
      </w:r>
      <w:proofErr w:type="spellEnd"/>
      <w:r w:rsidR="003D6DF9" w:rsidRPr="003D6DF9">
        <w:rPr>
          <w:i/>
        </w:rPr>
        <w:t xml:space="preserve"> Accounting </w:t>
      </w:r>
      <w:proofErr w:type="spellStart"/>
      <w:r w:rsidR="003D6DF9" w:rsidRPr="003D6DF9">
        <w:rPr>
          <w:i/>
        </w:rPr>
        <w:t>Standards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Board</w:t>
      </w:r>
      <w:proofErr w:type="spellEnd"/>
      <w:r w:rsidR="003D6DF9" w:rsidRPr="003D6DF9">
        <w:rPr>
          <w:i/>
        </w:rPr>
        <w:t xml:space="preserve"> (SASB) </w:t>
      </w:r>
      <w:proofErr w:type="spellStart"/>
      <w:r w:rsidR="003D6DF9" w:rsidRPr="003D6DF9">
        <w:rPr>
          <w:i/>
        </w:rPr>
        <w:t>announced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their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intention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to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merge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into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Value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Reporting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Foundation</w:t>
      </w:r>
      <w:proofErr w:type="spellEnd"/>
      <w:r w:rsidR="003D6DF9" w:rsidRPr="003D6DF9">
        <w:rPr>
          <w:i/>
        </w:rPr>
        <w:t xml:space="preserve">, </w:t>
      </w:r>
      <w:proofErr w:type="spellStart"/>
      <w:r w:rsidR="003D6DF9" w:rsidRPr="003D6DF9">
        <w:rPr>
          <w:i/>
        </w:rPr>
        <w:t>which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was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officially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formed</w:t>
      </w:r>
      <w:proofErr w:type="spellEnd"/>
      <w:r w:rsidR="003D6DF9" w:rsidRPr="003D6DF9">
        <w:rPr>
          <w:i/>
        </w:rPr>
        <w:t xml:space="preserve"> in June 2021. </w:t>
      </w:r>
      <w:proofErr w:type="spellStart"/>
      <w:r w:rsidR="003D6DF9" w:rsidRPr="003D6DF9">
        <w:rPr>
          <w:i/>
        </w:rPr>
        <w:t>By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integrating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two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entities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that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were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focused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on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enterprise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value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creation</w:t>
      </w:r>
      <w:proofErr w:type="spellEnd"/>
      <w:r w:rsidR="003D6DF9" w:rsidRPr="003D6DF9">
        <w:rPr>
          <w:i/>
        </w:rPr>
        <w:t xml:space="preserve">, </w:t>
      </w:r>
      <w:proofErr w:type="spellStart"/>
      <w:r w:rsidR="003D6DF9" w:rsidRPr="003D6DF9">
        <w:rPr>
          <w:i/>
        </w:rPr>
        <w:t>the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merger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signaled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significant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progress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towards</w:t>
      </w:r>
      <w:proofErr w:type="spellEnd"/>
      <w:r w:rsidR="003D6DF9" w:rsidRPr="003D6DF9">
        <w:rPr>
          <w:i/>
        </w:rPr>
        <w:t xml:space="preserve"> </w:t>
      </w:r>
      <w:proofErr w:type="spellStart"/>
      <w:r w:rsidR="003D6DF9" w:rsidRPr="003D6DF9">
        <w:rPr>
          <w:i/>
        </w:rPr>
        <w:t>simplification</w:t>
      </w:r>
      <w:proofErr w:type="spellEnd"/>
      <w:r w:rsidR="003D6DF9" w:rsidRPr="003D6DF9">
        <w:rPr>
          <w:i/>
        </w:rPr>
        <w:t>.</w:t>
      </w:r>
      <w:r w:rsidR="003D6DF9">
        <w:t xml:space="preserve">” Como se ve, los grandes se han coaligado. IIRC, SASB &amp; ISSB constituyen hoy un bloque fuerte en materia de reglas para la sostenibilidad. El mediante ambiente, los asuntos sociales y la gobernanza pronto serán asuntos familiares en todos los estados financieros de las grandes entidades del mundo, sobre todo luego del compromiso de </w:t>
      </w:r>
      <w:hyperlink r:id="rId14" w:history="1">
        <w:r w:rsidR="003D6DF9" w:rsidRPr="00BA4B65">
          <w:rPr>
            <w:rStyle w:val="Hipervnculo"/>
          </w:rPr>
          <w:t>IOSCO</w:t>
        </w:r>
      </w:hyperlink>
      <w:r w:rsidR="003D6DF9">
        <w:t>.</w:t>
      </w:r>
      <w:r w:rsidR="00BA4B65">
        <w:t xml:space="preserve"> </w:t>
      </w:r>
      <w:r w:rsidR="0012715B">
        <w:t xml:space="preserve">Mientras fuimos fundadores de organismos como la ONU y la OEA, nos retrasamos mucho en participar en la comunidad internacional en materia de información contable, financiera y gubernamental. Lo mismo sucedió con las normas éticas y las de práctica, que hoy se conocen como normas de aseguramiento de información y normas sobre servicios relacionados. Hay cierta inquietud en Colombia, pero no sabemos si vamos o no a incorporarnos al movimiento mundial de la información financiera sobre la sostenibilidad. </w:t>
      </w:r>
      <w:r w:rsidR="00636BCE">
        <w:t xml:space="preserve">Recordemos que la </w:t>
      </w:r>
      <w:hyperlink r:id="rId15" w:history="1">
        <w:r w:rsidR="00636BCE" w:rsidRPr="007D704C">
          <w:rPr>
            <w:rStyle w:val="Hipervnculo"/>
          </w:rPr>
          <w:t>Ley 1314 de 2009</w:t>
        </w:r>
      </w:hyperlink>
      <w:r w:rsidR="00636BCE">
        <w:t xml:space="preserve"> no se limita a ningún organismo en particular, pero si incluyó en forma expresa </w:t>
      </w:r>
      <w:r w:rsidR="007D704C">
        <w:t xml:space="preserve">las </w:t>
      </w:r>
      <w:r w:rsidR="007D704C" w:rsidRPr="007D704C">
        <w:t>normas técnicas sobre revelaciones</w:t>
      </w:r>
      <w:r w:rsidR="007D704C">
        <w:t>, como puede verse en su artículo 3°</w:t>
      </w:r>
      <w:r w:rsidR="00144CFD">
        <w:t xml:space="preserve"> Tales normas implicarán un ajuste importante en la competencia de los contadores profesionales y en los planes de estudio de los estudiantes de los pregrados en contaduría. Ojalá los interesados acudan a establecimientos serios y no a cualquier oferente sin méritos reconocidos. ¿Qué pasará en materia tributaria?</w:t>
      </w:r>
    </w:p>
    <w:p w14:paraId="7B2F6F0A" w14:textId="08313688" w:rsidR="00144CFD" w:rsidRPr="00C65F35" w:rsidRDefault="00144CFD" w:rsidP="00144CFD">
      <w:pPr>
        <w:jc w:val="right"/>
      </w:pPr>
      <w:r w:rsidRPr="00844BFA">
        <w:rPr>
          <w:i/>
        </w:rPr>
        <w:t>Hernando Bermúdez Gómez</w:t>
      </w:r>
    </w:p>
    <w:sectPr w:rsidR="00144CFD" w:rsidRPr="00C65F35" w:rsidSect="00586137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B7A7" w14:textId="77777777" w:rsidR="00C90A05" w:rsidRDefault="00C90A05" w:rsidP="00EE7812">
      <w:pPr>
        <w:spacing w:after="0" w:line="240" w:lineRule="auto"/>
      </w:pPr>
      <w:r>
        <w:separator/>
      </w:r>
    </w:p>
  </w:endnote>
  <w:endnote w:type="continuationSeparator" w:id="0">
    <w:p w14:paraId="7B16282A" w14:textId="77777777" w:rsidR="00C90A05" w:rsidRDefault="00C90A0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94F9" w14:textId="77777777" w:rsidR="00C90A05" w:rsidRDefault="00C90A05" w:rsidP="00EE7812">
      <w:pPr>
        <w:spacing w:after="0" w:line="240" w:lineRule="auto"/>
      </w:pPr>
      <w:r>
        <w:separator/>
      </w:r>
    </w:p>
  </w:footnote>
  <w:footnote w:type="continuationSeparator" w:id="0">
    <w:p w14:paraId="5F345B64" w14:textId="77777777" w:rsidR="00C90A05" w:rsidRDefault="00C90A0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31A5C937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</w:t>
    </w:r>
    <w:r w:rsidR="006A3970">
      <w:t>3</w:t>
    </w:r>
    <w:r w:rsidR="00177393">
      <w:t>2</w:t>
    </w:r>
    <w:r>
      <w:t>,</w:t>
    </w:r>
    <w:r w:rsidR="007F1F4E">
      <w:t xml:space="preserve"> </w:t>
    </w:r>
    <w:r w:rsidR="0093012F">
      <w:t>25</w:t>
    </w:r>
    <w:r w:rsidR="001E23A5">
      <w:t xml:space="preserve"> </w:t>
    </w:r>
    <w:r w:rsidR="009365CF">
      <w:t>de</w:t>
    </w:r>
    <w:r w:rsidR="001E23A5">
      <w:t xml:space="preserve"> </w:t>
    </w:r>
    <w:r w:rsidR="003506D0">
      <w:t>septiembre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15128">
    <w:abstractNumId w:val="0"/>
  </w:num>
  <w:num w:numId="2" w16cid:durableId="2103137905">
    <w:abstractNumId w:val="21"/>
  </w:num>
  <w:num w:numId="3" w16cid:durableId="1016616148">
    <w:abstractNumId w:val="15"/>
  </w:num>
  <w:num w:numId="4" w16cid:durableId="1229195071">
    <w:abstractNumId w:val="2"/>
  </w:num>
  <w:num w:numId="5" w16cid:durableId="1543590705">
    <w:abstractNumId w:val="20"/>
  </w:num>
  <w:num w:numId="6" w16cid:durableId="430667865">
    <w:abstractNumId w:val="35"/>
  </w:num>
  <w:num w:numId="7" w16cid:durableId="925845476">
    <w:abstractNumId w:val="13"/>
  </w:num>
  <w:num w:numId="8" w16cid:durableId="517500653">
    <w:abstractNumId w:val="33"/>
  </w:num>
  <w:num w:numId="9" w16cid:durableId="541599783">
    <w:abstractNumId w:val="38"/>
  </w:num>
  <w:num w:numId="10" w16cid:durableId="1898933518">
    <w:abstractNumId w:val="4"/>
  </w:num>
  <w:num w:numId="11" w16cid:durableId="1545678141">
    <w:abstractNumId w:val="6"/>
  </w:num>
  <w:num w:numId="12" w16cid:durableId="410860306">
    <w:abstractNumId w:val="19"/>
  </w:num>
  <w:num w:numId="13" w16cid:durableId="598755753">
    <w:abstractNumId w:val="22"/>
  </w:num>
  <w:num w:numId="14" w16cid:durableId="1960840610">
    <w:abstractNumId w:val="32"/>
  </w:num>
  <w:num w:numId="15" w16cid:durableId="1145052206">
    <w:abstractNumId w:val="9"/>
  </w:num>
  <w:num w:numId="16" w16cid:durableId="1008601491">
    <w:abstractNumId w:val="7"/>
  </w:num>
  <w:num w:numId="17" w16cid:durableId="2072970019">
    <w:abstractNumId w:val="17"/>
  </w:num>
  <w:num w:numId="18" w16cid:durableId="926185820">
    <w:abstractNumId w:val="31"/>
  </w:num>
  <w:num w:numId="19" w16cid:durableId="627122585">
    <w:abstractNumId w:val="26"/>
  </w:num>
  <w:num w:numId="20" w16cid:durableId="1405179290">
    <w:abstractNumId w:val="8"/>
  </w:num>
  <w:num w:numId="21" w16cid:durableId="1663388624">
    <w:abstractNumId w:val="27"/>
  </w:num>
  <w:num w:numId="22" w16cid:durableId="21443931">
    <w:abstractNumId w:val="28"/>
  </w:num>
  <w:num w:numId="23" w16cid:durableId="1775437752">
    <w:abstractNumId w:val="29"/>
  </w:num>
  <w:num w:numId="24" w16cid:durableId="1874539037">
    <w:abstractNumId w:val="34"/>
  </w:num>
  <w:num w:numId="25" w16cid:durableId="2113502843">
    <w:abstractNumId w:val="23"/>
  </w:num>
  <w:num w:numId="26" w16cid:durableId="738017298">
    <w:abstractNumId w:val="14"/>
  </w:num>
  <w:num w:numId="27" w16cid:durableId="521937862">
    <w:abstractNumId w:val="5"/>
  </w:num>
  <w:num w:numId="28" w16cid:durableId="1989357167">
    <w:abstractNumId w:val="24"/>
  </w:num>
  <w:num w:numId="29" w16cid:durableId="2074157256">
    <w:abstractNumId w:val="1"/>
  </w:num>
  <w:num w:numId="30" w16cid:durableId="1329292113">
    <w:abstractNumId w:val="25"/>
  </w:num>
  <w:num w:numId="31" w16cid:durableId="2015255356">
    <w:abstractNumId w:val="30"/>
  </w:num>
  <w:num w:numId="32" w16cid:durableId="473260902">
    <w:abstractNumId w:val="12"/>
  </w:num>
  <w:num w:numId="33" w16cid:durableId="1637946955">
    <w:abstractNumId w:val="18"/>
  </w:num>
  <w:num w:numId="34" w16cid:durableId="2004163108">
    <w:abstractNumId w:val="3"/>
  </w:num>
  <w:num w:numId="35" w16cid:durableId="1949920590">
    <w:abstractNumId w:val="36"/>
  </w:num>
  <w:num w:numId="36" w16cid:durableId="243540633">
    <w:abstractNumId w:val="10"/>
  </w:num>
  <w:num w:numId="37" w16cid:durableId="2070229124">
    <w:abstractNumId w:val="11"/>
  </w:num>
  <w:num w:numId="38" w16cid:durableId="246354921">
    <w:abstractNumId w:val="37"/>
  </w:num>
  <w:num w:numId="39" w16cid:durableId="153519427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F9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22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9D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5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2CA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sb.org/about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frs.org/projects/work-plan/international-applicability-of-the-sasb-standard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rs.org/projects/work-plan/international-applicability-of-the-sasb-standard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ecretariasenado.gov.co/senado/basedoc/ley_1314_2009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osco.org/news/pdf/IOSCONEWS70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36ADB-C5F7-4DDE-93F4-8B50F94C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2023-09-22T20:40:00Z</dcterms:created>
  <dcterms:modified xsi:type="dcterms:W3CDTF">2023-09-22T20:40:00Z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