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C5705" w14:textId="6E6AB542" w:rsidR="00414EB9" w:rsidRPr="00414EB9" w:rsidRDefault="00414EB9" w:rsidP="00414EB9">
      <w:pPr>
        <w:keepNext/>
        <w:framePr w:dropCap="drop" w:lines="3" w:wrap="around" w:vAnchor="text" w:hAnchor="text"/>
        <w:spacing w:after="0" w:line="926" w:lineRule="exact"/>
        <w:textAlignment w:val="baseline"/>
        <w:rPr>
          <w:position w:val="-9"/>
          <w:sz w:val="123"/>
          <w:lang w:val="en-US"/>
        </w:rPr>
      </w:pPr>
      <w:r w:rsidRPr="00414EB9">
        <w:rPr>
          <w:position w:val="-9"/>
          <w:sz w:val="123"/>
          <w:lang w:val="en-US"/>
        </w:rPr>
        <w:t>E</w:t>
      </w:r>
    </w:p>
    <w:p w14:paraId="3EE367A1" w14:textId="470DED27" w:rsidR="00BF5127" w:rsidRDefault="00322A4D" w:rsidP="00322A4D">
      <w:r>
        <w:rPr>
          <w:lang w:val="en-US"/>
        </w:rPr>
        <w:t xml:space="preserve">n </w:t>
      </w:r>
      <w:r w:rsidRPr="00322A4D">
        <w:rPr>
          <w:i/>
          <w:iCs/>
          <w:lang w:val="en-US"/>
        </w:rPr>
        <w:t>Human Resource Management Review</w:t>
      </w:r>
      <w:r>
        <w:rPr>
          <w:lang w:val="en-US"/>
        </w:rPr>
        <w:t xml:space="preserve"> </w:t>
      </w:r>
      <w:r w:rsidRPr="00322A4D">
        <w:rPr>
          <w:lang w:val="en-US"/>
        </w:rPr>
        <w:t>33 (2023)</w:t>
      </w:r>
      <w:r>
        <w:rPr>
          <w:lang w:val="en-US"/>
        </w:rPr>
        <w:t xml:space="preserve"> </w:t>
      </w:r>
      <w:r w:rsidRPr="00322A4D">
        <w:rPr>
          <w:lang w:val="en-US"/>
        </w:rPr>
        <w:t xml:space="preserve">100974 </w:t>
      </w:r>
      <w:proofErr w:type="spellStart"/>
      <w:r>
        <w:rPr>
          <w:lang w:val="en-US"/>
        </w:rPr>
        <w:t>aparece</w:t>
      </w:r>
      <w:proofErr w:type="spellEnd"/>
      <w:r>
        <w:rPr>
          <w:lang w:val="en-US"/>
        </w:rPr>
        <w:t xml:space="preserve"> un </w:t>
      </w:r>
      <w:proofErr w:type="spellStart"/>
      <w:r>
        <w:rPr>
          <w:lang w:val="en-US"/>
        </w:rPr>
        <w:t>escrito</w:t>
      </w:r>
      <w:proofErr w:type="spellEnd"/>
      <w:r>
        <w:rPr>
          <w:lang w:val="en-US"/>
        </w:rPr>
        <w:t xml:space="preserve"> </w:t>
      </w:r>
      <w:proofErr w:type="spellStart"/>
      <w:r>
        <w:rPr>
          <w:lang w:val="en-US"/>
        </w:rPr>
        <w:t>titulado</w:t>
      </w:r>
      <w:proofErr w:type="spellEnd"/>
      <w:r>
        <w:rPr>
          <w:lang w:val="en-US"/>
        </w:rPr>
        <w:t xml:space="preserve"> </w:t>
      </w:r>
      <w:r w:rsidRPr="00322A4D">
        <w:rPr>
          <w:i/>
          <w:iCs/>
          <w:lang w:val="en-US"/>
        </w:rPr>
        <w:t>Creating accountability through HR analytics – An audit society perspective</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322A4D">
        <w:rPr>
          <w:lang w:val="en-US"/>
        </w:rPr>
        <w:t>Georg Josef Loscher</w:t>
      </w:r>
      <w:r>
        <w:rPr>
          <w:lang w:val="en-US"/>
        </w:rPr>
        <w:t xml:space="preserve"> &amp; </w:t>
      </w:r>
      <w:r w:rsidRPr="00322A4D">
        <w:rPr>
          <w:lang w:val="en-US"/>
        </w:rPr>
        <w:t xml:space="preserve">Verena </w:t>
      </w:r>
      <w:proofErr w:type="spellStart"/>
      <w:r w:rsidRPr="00322A4D">
        <w:rPr>
          <w:lang w:val="en-US"/>
        </w:rPr>
        <w:t>Badernberg</w:t>
      </w:r>
      <w:proofErr w:type="spellEnd"/>
      <w:r w:rsidRPr="00322A4D">
        <w:rPr>
          <w:lang w:val="en-US"/>
        </w:rPr>
        <w:t>-Weg</w:t>
      </w:r>
      <w:r>
        <w:rPr>
          <w:lang w:val="en-US"/>
        </w:rPr>
        <w:t xml:space="preserve">, </w:t>
      </w:r>
      <w:proofErr w:type="spellStart"/>
      <w:r>
        <w:rPr>
          <w:lang w:val="en-US"/>
        </w:rPr>
        <w:t>en</w:t>
      </w:r>
      <w:proofErr w:type="spellEnd"/>
      <w:r>
        <w:rPr>
          <w:lang w:val="en-US"/>
        </w:rPr>
        <w:t xml:space="preserve"> el </w:t>
      </w:r>
      <w:proofErr w:type="spellStart"/>
      <w:r>
        <w:rPr>
          <w:lang w:val="en-US"/>
        </w:rPr>
        <w:t>cual</w:t>
      </w:r>
      <w:proofErr w:type="spellEnd"/>
      <w:r>
        <w:rPr>
          <w:lang w:val="en-US"/>
        </w:rPr>
        <w:t xml:space="preserve"> se lee: “</w:t>
      </w:r>
      <w:r w:rsidR="00414EB9" w:rsidRPr="00414EB9">
        <w:rPr>
          <w:i/>
          <w:iCs/>
          <w:lang w:val="en-US"/>
        </w:rPr>
        <w:t>In addressing this gap, we connect the debate on the transformation of HRM through analytics to the wider debate on accountability and the “audit society” (Power, 1997). Quantifying a societal domain, thereby creating diverse forms of accountability, is part of the development of the “audit society” (Power, 1997). By giving and demanding accounts for behavior, monitoring and verifying behavior has become an important tenet in the fabric of the social world in business and beyond (Power, 2022). One element of the audit society is the introduction of “audit trails” (Power, 2021) in a domain. Audit trails are primary traces of organizational performance that result from recording activities and transactions (Power, 2021). This documentation produces facts by providing traceable, aggregated accounts of performance, which facilitates control. With audit trails, performance can be evaluated against economic criteria and checked by third parties. Power (1997) observes that the logic of verifying accounts has become deeply embedded in society, while Meyer and Rowan (1977, p. 343) see the rituals of verification becoming “rationalized myths” that support the claim of rational decision-making in organizations.</w:t>
      </w:r>
      <w:r w:rsidR="00414EB9">
        <w:rPr>
          <w:lang w:val="en-US"/>
        </w:rPr>
        <w:t xml:space="preserve">” </w:t>
      </w:r>
      <w:r w:rsidR="00414EB9" w:rsidRPr="00414EB9">
        <w:t xml:space="preserve">Ciertamente </w:t>
      </w:r>
      <w:r w:rsidR="00923A3F">
        <w:t>una</w:t>
      </w:r>
      <w:r w:rsidR="00414EB9" w:rsidRPr="00414EB9">
        <w:t xml:space="preserve"> rendición de cuentas honesta, neutral, que permit</w:t>
      </w:r>
      <w:r w:rsidR="00923A3F">
        <w:t>a</w:t>
      </w:r>
      <w:r w:rsidR="00414EB9" w:rsidRPr="00414EB9">
        <w:t xml:space="preserve"> a s</w:t>
      </w:r>
      <w:r w:rsidR="00414EB9">
        <w:t xml:space="preserve">us oyentes o lectores reflexionar en las fortalezas y amenazas de la respectiva institución o actividad permite que se </w:t>
      </w:r>
      <w:r w:rsidR="00414EB9">
        <w:t>conciban</w:t>
      </w:r>
      <w:r w:rsidR="008E2F7D">
        <w:t xml:space="preserve"> </w:t>
      </w:r>
      <w:r w:rsidR="00414EB9">
        <w:t>y ejecuten planes estratégicos exitosos.</w:t>
      </w:r>
      <w:r w:rsidR="00A14C6A">
        <w:t xml:space="preserve"> Las seudo rendiciones de cuentas, dirigidas a lograr alabanzas sobre todo para su principal, no son sino basura, de la cual se pueden escoger uno que otro dato. Por corresponder a esto, las recientes rendiciones de cuentas de múltiples entidades del Estado no han servido para mejorar. ¿Conoce a usted un funcionario de rango superior que esté verdaderamente interesado en catapultar a su entidad? La pregunta cabe porque generalmente lo que se quiere impulsar es al propio funcionario de rango superior.</w:t>
      </w:r>
      <w:r w:rsidR="00A3046F">
        <w:t xml:space="preserve"> Formados en el egoísmo trabajamos para nosotros mismos, para ser notables y ricos. Para lograr un trato</w:t>
      </w:r>
      <w:r w:rsidR="00047B0C">
        <w:t xml:space="preserve"> superior, del que todos los demás puedan tomar nota. Nos alegra ser distinguidos, premiados y</w:t>
      </w:r>
      <w:r w:rsidR="008E2F7D">
        <w:t xml:space="preserve"> </w:t>
      </w:r>
      <w:r w:rsidR="00047B0C">
        <w:t>aparecer en la primera fila de muchas fotos.</w:t>
      </w:r>
      <w:r w:rsidR="000E76CB">
        <w:t xml:space="preserve"> Con el dinero compramos la mejor casa, carro, finca, acción de un club, hacemos inversiones en el exterior, por ejemplo, Miami, es decir, nos complacemos y hacemos sentir a los demás nuestra supuesta superioridad. Muchos contadores tienen esta idiosincrasia. Los unos miran a los otros como menos y éstos viven frustrados por no </w:t>
      </w:r>
      <w:r w:rsidR="008E2F7D">
        <w:t>son</w:t>
      </w:r>
      <w:r w:rsidR="000E76CB">
        <w:t xml:space="preserve"> como aquellos. Sobre el sentimiento de injusticia se asienta la izquierda. La rendición de cuentas es un instrumento antiquísimo, utilizado antes del desarrollo de los estados financieros, que hoy se sigue utilizando, pero que puede tener consecuencias muy importantes, no solo su mención en los medios de comunicación. La </w:t>
      </w:r>
      <w:hyperlink r:id="rId11" w:history="1">
        <w:r w:rsidR="000E76CB" w:rsidRPr="000E76CB">
          <w:rPr>
            <w:rStyle w:val="Hipervnculo"/>
          </w:rPr>
          <w:t>Ley 222 de 1995</w:t>
        </w:r>
      </w:hyperlink>
      <w:r w:rsidR="000E76CB">
        <w:t xml:space="preserve">, revitalizó la rendición de cuentas y la </w:t>
      </w:r>
      <w:hyperlink r:id="rId12" w:history="1">
        <w:r w:rsidR="000E76CB" w:rsidRPr="00923A3F">
          <w:rPr>
            <w:rStyle w:val="Hipervnculo"/>
          </w:rPr>
          <w:t>Ley 1314 de 2009</w:t>
        </w:r>
      </w:hyperlink>
      <w:r w:rsidR="000E76CB">
        <w:t xml:space="preserve"> la extendió a muchas entidades no comerciantes.</w:t>
      </w:r>
    </w:p>
    <w:p w14:paraId="24CFC677" w14:textId="400D69A0" w:rsidR="00923A3F" w:rsidRPr="00414EB9" w:rsidRDefault="00923A3F" w:rsidP="00923A3F">
      <w:pPr>
        <w:jc w:val="right"/>
      </w:pPr>
      <w:r w:rsidRPr="003C4ED4">
        <w:rPr>
          <w:i/>
          <w:iCs/>
        </w:rPr>
        <w:t>Hernando Bermúdez Gómez</w:t>
      </w:r>
    </w:p>
    <w:sectPr w:rsidR="00923A3F" w:rsidRPr="00414EB9"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5A2B8" w14:textId="77777777" w:rsidR="00BD039B" w:rsidRDefault="00BD039B" w:rsidP="00EE7812">
      <w:pPr>
        <w:spacing w:after="0" w:line="240" w:lineRule="auto"/>
      </w:pPr>
      <w:r>
        <w:separator/>
      </w:r>
    </w:p>
  </w:endnote>
  <w:endnote w:type="continuationSeparator" w:id="0">
    <w:p w14:paraId="0EC6200C" w14:textId="77777777" w:rsidR="00BD039B" w:rsidRDefault="00BD039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AE991" w14:textId="77777777" w:rsidR="00BD039B" w:rsidRDefault="00BD039B" w:rsidP="00EE7812">
      <w:pPr>
        <w:spacing w:after="0" w:line="240" w:lineRule="auto"/>
      </w:pPr>
      <w:r>
        <w:separator/>
      </w:r>
    </w:p>
  </w:footnote>
  <w:footnote w:type="continuationSeparator" w:id="0">
    <w:p w14:paraId="62BFC5A9" w14:textId="77777777" w:rsidR="00BD039B" w:rsidRDefault="00BD039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2B32386C"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6A3970">
      <w:t>3</w:t>
    </w:r>
    <w:r w:rsidR="001E7A86">
      <w:t>5</w:t>
    </w:r>
    <w:r>
      <w:t>,</w:t>
    </w:r>
    <w:r w:rsidR="007F1F4E">
      <w:t xml:space="preserve"> </w:t>
    </w:r>
    <w:r w:rsidR="0093012F">
      <w:t>25</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01061427">
    <w:abstractNumId w:val="0"/>
  </w:num>
  <w:num w:numId="2" w16cid:durableId="1007825955">
    <w:abstractNumId w:val="21"/>
  </w:num>
  <w:num w:numId="3" w16cid:durableId="1531841459">
    <w:abstractNumId w:val="15"/>
  </w:num>
  <w:num w:numId="4" w16cid:durableId="1238709554">
    <w:abstractNumId w:val="2"/>
  </w:num>
  <w:num w:numId="5" w16cid:durableId="1794130738">
    <w:abstractNumId w:val="20"/>
  </w:num>
  <w:num w:numId="6" w16cid:durableId="1082992708">
    <w:abstractNumId w:val="35"/>
  </w:num>
  <w:num w:numId="7" w16cid:durableId="219102136">
    <w:abstractNumId w:val="13"/>
  </w:num>
  <w:num w:numId="8" w16cid:durableId="1905945128">
    <w:abstractNumId w:val="33"/>
  </w:num>
  <w:num w:numId="9" w16cid:durableId="655648224">
    <w:abstractNumId w:val="38"/>
  </w:num>
  <w:num w:numId="10" w16cid:durableId="828209523">
    <w:abstractNumId w:val="4"/>
  </w:num>
  <w:num w:numId="11" w16cid:durableId="1862667027">
    <w:abstractNumId w:val="6"/>
  </w:num>
  <w:num w:numId="12" w16cid:durableId="639193340">
    <w:abstractNumId w:val="19"/>
  </w:num>
  <w:num w:numId="13" w16cid:durableId="118885775">
    <w:abstractNumId w:val="22"/>
  </w:num>
  <w:num w:numId="14" w16cid:durableId="1255213442">
    <w:abstractNumId w:val="32"/>
  </w:num>
  <w:num w:numId="15" w16cid:durableId="1921325359">
    <w:abstractNumId w:val="9"/>
  </w:num>
  <w:num w:numId="16" w16cid:durableId="1647081253">
    <w:abstractNumId w:val="7"/>
  </w:num>
  <w:num w:numId="17" w16cid:durableId="2056199190">
    <w:abstractNumId w:val="17"/>
  </w:num>
  <w:num w:numId="18" w16cid:durableId="1507406383">
    <w:abstractNumId w:val="31"/>
  </w:num>
  <w:num w:numId="19" w16cid:durableId="1442188461">
    <w:abstractNumId w:val="26"/>
  </w:num>
  <w:num w:numId="20" w16cid:durableId="890848422">
    <w:abstractNumId w:val="8"/>
  </w:num>
  <w:num w:numId="21" w16cid:durableId="1643269931">
    <w:abstractNumId w:val="27"/>
  </w:num>
  <w:num w:numId="22" w16cid:durableId="1256549730">
    <w:abstractNumId w:val="28"/>
  </w:num>
  <w:num w:numId="23" w16cid:durableId="739909116">
    <w:abstractNumId w:val="29"/>
  </w:num>
  <w:num w:numId="24" w16cid:durableId="1427388905">
    <w:abstractNumId w:val="34"/>
  </w:num>
  <w:num w:numId="25" w16cid:durableId="1842694602">
    <w:abstractNumId w:val="23"/>
  </w:num>
  <w:num w:numId="26" w16cid:durableId="533419525">
    <w:abstractNumId w:val="14"/>
  </w:num>
  <w:num w:numId="27" w16cid:durableId="912546298">
    <w:abstractNumId w:val="5"/>
  </w:num>
  <w:num w:numId="28" w16cid:durableId="1396389657">
    <w:abstractNumId w:val="24"/>
  </w:num>
  <w:num w:numId="29" w16cid:durableId="1769344681">
    <w:abstractNumId w:val="1"/>
  </w:num>
  <w:num w:numId="30" w16cid:durableId="712735188">
    <w:abstractNumId w:val="25"/>
  </w:num>
  <w:num w:numId="31" w16cid:durableId="383527309">
    <w:abstractNumId w:val="30"/>
  </w:num>
  <w:num w:numId="32" w16cid:durableId="1060056066">
    <w:abstractNumId w:val="12"/>
  </w:num>
  <w:num w:numId="33" w16cid:durableId="2061828518">
    <w:abstractNumId w:val="18"/>
  </w:num>
  <w:num w:numId="34" w16cid:durableId="949582650">
    <w:abstractNumId w:val="3"/>
  </w:num>
  <w:num w:numId="35" w16cid:durableId="2124185208">
    <w:abstractNumId w:val="36"/>
  </w:num>
  <w:num w:numId="36" w16cid:durableId="938949707">
    <w:abstractNumId w:val="10"/>
  </w:num>
  <w:num w:numId="37" w16cid:durableId="510990027">
    <w:abstractNumId w:val="11"/>
  </w:num>
  <w:num w:numId="38" w16cid:durableId="1142161998">
    <w:abstractNumId w:val="37"/>
  </w:num>
  <w:num w:numId="39" w16cid:durableId="186404941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39B"/>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081"/>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99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id=167725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65576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40211CE7-338F-4236-BAB4-B08D2B881502}">
  <ds:schemaRefs>
    <ds:schemaRef ds:uri="http://schemas.openxmlformats.org/officeDocument/2006/bibliography"/>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2023-09-22T20:49:00Z</dcterms:created>
  <dcterms:modified xsi:type="dcterms:W3CDTF">2023-09-22T20:49:00Z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