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C129" w14:textId="703B5758" w:rsidR="00DC0C9F" w:rsidRPr="00DC0C9F" w:rsidRDefault="00DC0C9F" w:rsidP="00DC0C9F">
      <w:pPr>
        <w:keepNext/>
        <w:framePr w:dropCap="drop" w:lines="3" w:wrap="around" w:vAnchor="text" w:hAnchor="text"/>
        <w:spacing w:after="0" w:line="1526" w:lineRule="exact"/>
        <w:textAlignment w:val="baseline"/>
        <w:rPr>
          <w:position w:val="-1"/>
          <w:sz w:val="187"/>
        </w:rPr>
      </w:pPr>
      <w:r w:rsidRPr="00DC0C9F">
        <w:rPr>
          <w:position w:val="-1"/>
          <w:sz w:val="187"/>
        </w:rPr>
        <w:t>E</w:t>
      </w:r>
    </w:p>
    <w:p w14:paraId="0059193E" w14:textId="132F7A83" w:rsidR="00973181" w:rsidRDefault="0009182D" w:rsidP="00F652AD">
      <w:r>
        <w:t xml:space="preserve">n </w:t>
      </w:r>
      <w:hyperlink r:id="rId11" w:history="1">
        <w:r w:rsidRPr="007319DF">
          <w:rPr>
            <w:rStyle w:val="Hipervnculo"/>
          </w:rPr>
          <w:t xml:space="preserve">Accountancy </w:t>
        </w:r>
        <w:proofErr w:type="spellStart"/>
        <w:r w:rsidRPr="007319DF">
          <w:rPr>
            <w:rStyle w:val="Hipervnculo"/>
          </w:rPr>
          <w:t>Europe</w:t>
        </w:r>
        <w:proofErr w:type="spellEnd"/>
      </w:hyperlink>
      <w:r w:rsidR="00DC0C9F">
        <w:t xml:space="preserve"> hemos leído: “</w:t>
      </w:r>
      <w:r w:rsidR="00DC0C9F" w:rsidRPr="00DC0C9F">
        <w:rPr>
          <w:i/>
        </w:rPr>
        <w:t xml:space="preserve">Accountancy </w:t>
      </w:r>
      <w:proofErr w:type="spellStart"/>
      <w:r w:rsidR="00DC0C9F" w:rsidRPr="00DC0C9F">
        <w:rPr>
          <w:i/>
        </w:rPr>
        <w:t>Europe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suggests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ISSB </w:t>
      </w:r>
      <w:proofErr w:type="spellStart"/>
      <w:r w:rsidR="00DC0C9F" w:rsidRPr="00DC0C9F">
        <w:rPr>
          <w:i/>
        </w:rPr>
        <w:t>equally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prioritises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activities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to</w:t>
      </w:r>
      <w:proofErr w:type="spellEnd"/>
      <w:r w:rsidR="00DC0C9F" w:rsidRPr="00DC0C9F">
        <w:rPr>
          <w:i/>
        </w:rPr>
        <w:t>: ―</w:t>
      </w:r>
      <w:proofErr w:type="spellStart"/>
      <w:r w:rsidR="00DC0C9F" w:rsidRPr="00DC0C9F">
        <w:rPr>
          <w:i/>
        </w:rPr>
        <w:t>support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implementation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of</w:t>
      </w:r>
      <w:proofErr w:type="spellEnd"/>
      <w:r w:rsidR="00DC0C9F" w:rsidRPr="00DC0C9F">
        <w:rPr>
          <w:i/>
        </w:rPr>
        <w:t xml:space="preserve"> ISSB </w:t>
      </w:r>
      <w:proofErr w:type="spellStart"/>
      <w:r w:rsidR="00DC0C9F" w:rsidRPr="00DC0C9F">
        <w:rPr>
          <w:i/>
        </w:rPr>
        <w:t>standards</w:t>
      </w:r>
      <w:proofErr w:type="spellEnd"/>
      <w:r w:rsidR="00DC0C9F" w:rsidRPr="00DC0C9F">
        <w:rPr>
          <w:i/>
        </w:rPr>
        <w:t xml:space="preserve"> (IFRS S1 and IFRS S2) ―</w:t>
      </w:r>
      <w:proofErr w:type="spellStart"/>
      <w:r w:rsidR="00DC0C9F" w:rsidRPr="00DC0C9F">
        <w:rPr>
          <w:i/>
        </w:rPr>
        <w:t>begin</w:t>
      </w:r>
      <w:proofErr w:type="spellEnd"/>
      <w:r w:rsidR="00DC0C9F" w:rsidRPr="00DC0C9F">
        <w:rPr>
          <w:i/>
        </w:rPr>
        <w:t xml:space="preserve"> new </w:t>
      </w:r>
      <w:proofErr w:type="spellStart"/>
      <w:r w:rsidR="00DC0C9F" w:rsidRPr="00DC0C9F">
        <w:rPr>
          <w:i/>
        </w:rPr>
        <w:t>research</w:t>
      </w:r>
      <w:proofErr w:type="spellEnd"/>
      <w:r w:rsidR="00DC0C9F" w:rsidRPr="00DC0C9F">
        <w:rPr>
          <w:i/>
        </w:rPr>
        <w:t xml:space="preserve"> and standard-</w:t>
      </w:r>
      <w:proofErr w:type="spellStart"/>
      <w:r w:rsidR="00DC0C9F" w:rsidRPr="00DC0C9F">
        <w:rPr>
          <w:i/>
        </w:rPr>
        <w:t>setting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projects</w:t>
      </w:r>
      <w:proofErr w:type="spellEnd"/>
      <w:r w:rsidR="00DC0C9F" w:rsidRPr="00DC0C9F">
        <w:rPr>
          <w:i/>
        </w:rPr>
        <w:t xml:space="preserve"> ―</w:t>
      </w:r>
      <w:proofErr w:type="spellStart"/>
      <w:r w:rsidR="00DC0C9F" w:rsidRPr="00DC0C9F">
        <w:rPr>
          <w:i/>
        </w:rPr>
        <w:t>It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is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important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for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ISSB </w:t>
      </w:r>
      <w:proofErr w:type="spellStart"/>
      <w:r w:rsidR="00DC0C9F" w:rsidRPr="00DC0C9F">
        <w:rPr>
          <w:i/>
        </w:rPr>
        <w:t>to</w:t>
      </w:r>
      <w:proofErr w:type="spellEnd"/>
      <w:r w:rsidR="00DC0C9F" w:rsidRPr="00DC0C9F">
        <w:rPr>
          <w:i/>
        </w:rPr>
        <w:t xml:space="preserve"> complete </w:t>
      </w:r>
      <w:proofErr w:type="spellStart"/>
      <w:r w:rsidR="00DC0C9F" w:rsidRPr="00DC0C9F">
        <w:rPr>
          <w:i/>
        </w:rPr>
        <w:t>its</w:t>
      </w:r>
      <w:proofErr w:type="spellEnd"/>
      <w:r w:rsidR="00DC0C9F" w:rsidRPr="00DC0C9F">
        <w:rPr>
          <w:i/>
        </w:rPr>
        <w:t xml:space="preserve"> suite </w:t>
      </w:r>
      <w:proofErr w:type="spellStart"/>
      <w:r w:rsidR="00DC0C9F" w:rsidRPr="00DC0C9F">
        <w:rPr>
          <w:i/>
        </w:rPr>
        <w:t>of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standards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to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develop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global </w:t>
      </w:r>
      <w:proofErr w:type="spellStart"/>
      <w:r w:rsidR="00DC0C9F" w:rsidRPr="00DC0C9F">
        <w:rPr>
          <w:i/>
        </w:rPr>
        <w:t>baseline</w:t>
      </w:r>
      <w:proofErr w:type="spellEnd"/>
      <w:r w:rsidR="00DC0C9F" w:rsidRPr="00DC0C9F">
        <w:rPr>
          <w:i/>
        </w:rPr>
        <w:t xml:space="preserve">, as </w:t>
      </w:r>
      <w:proofErr w:type="spellStart"/>
      <w:r w:rsidR="00DC0C9F" w:rsidRPr="00DC0C9F">
        <w:rPr>
          <w:i/>
        </w:rPr>
        <w:t>well</w:t>
      </w:r>
      <w:proofErr w:type="spellEnd"/>
      <w:r w:rsidR="00DC0C9F" w:rsidRPr="00DC0C9F">
        <w:rPr>
          <w:i/>
        </w:rPr>
        <w:t xml:space="preserve"> as </w:t>
      </w:r>
      <w:proofErr w:type="spellStart"/>
      <w:r w:rsidR="00DC0C9F" w:rsidRPr="00DC0C9F">
        <w:rPr>
          <w:i/>
        </w:rPr>
        <w:t>provide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implementation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support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to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help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standards</w:t>
      </w:r>
      <w:proofErr w:type="spellEnd"/>
      <w:r w:rsidR="00DC0C9F" w:rsidRPr="00DC0C9F">
        <w:rPr>
          <w:i/>
        </w:rPr>
        <w:t xml:space="preserve">’ </w:t>
      </w:r>
      <w:proofErr w:type="spellStart"/>
      <w:r w:rsidR="00DC0C9F" w:rsidRPr="00DC0C9F">
        <w:rPr>
          <w:i/>
        </w:rPr>
        <w:t>uptake</w:t>
      </w:r>
      <w:proofErr w:type="spellEnd"/>
      <w:r w:rsidR="00DC0C9F" w:rsidRPr="00DC0C9F">
        <w:rPr>
          <w:i/>
        </w:rPr>
        <w:t xml:space="preserve">. </w:t>
      </w:r>
      <w:proofErr w:type="spellStart"/>
      <w:r w:rsidR="00DC0C9F" w:rsidRPr="00DC0C9F">
        <w:rPr>
          <w:i/>
        </w:rPr>
        <w:t>From</w:t>
      </w:r>
      <w:proofErr w:type="spellEnd"/>
      <w:r w:rsidR="00DC0C9F" w:rsidRPr="00DC0C9F">
        <w:rPr>
          <w:i/>
        </w:rPr>
        <w:t xml:space="preserve"> a </w:t>
      </w:r>
      <w:proofErr w:type="spellStart"/>
      <w:r w:rsidR="00DC0C9F" w:rsidRPr="00DC0C9F">
        <w:rPr>
          <w:i/>
        </w:rPr>
        <w:t>European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perspective</w:t>
      </w:r>
      <w:proofErr w:type="spellEnd"/>
      <w:r w:rsidR="00DC0C9F" w:rsidRPr="00DC0C9F">
        <w:rPr>
          <w:i/>
        </w:rPr>
        <w:t xml:space="preserve">, </w:t>
      </w:r>
      <w:proofErr w:type="spellStart"/>
      <w:r w:rsidR="00DC0C9F" w:rsidRPr="00DC0C9F">
        <w:rPr>
          <w:i/>
        </w:rPr>
        <w:t>these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activities</w:t>
      </w:r>
      <w:proofErr w:type="spellEnd"/>
      <w:r w:rsidR="00DC0C9F" w:rsidRPr="00DC0C9F">
        <w:rPr>
          <w:i/>
        </w:rPr>
        <w:t xml:space="preserve"> are </w:t>
      </w:r>
      <w:proofErr w:type="spellStart"/>
      <w:r w:rsidR="00DC0C9F" w:rsidRPr="00DC0C9F">
        <w:rPr>
          <w:i/>
        </w:rPr>
        <w:t>paramount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to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ensure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interoperability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with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12 </w:t>
      </w:r>
      <w:proofErr w:type="spellStart"/>
      <w:r w:rsidR="00DC0C9F" w:rsidRPr="00DC0C9F">
        <w:rPr>
          <w:i/>
        </w:rPr>
        <w:t>European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Sustainability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Reporting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Standards</w:t>
      </w:r>
      <w:proofErr w:type="spellEnd"/>
      <w:r w:rsidR="00DC0C9F" w:rsidRPr="00DC0C9F">
        <w:rPr>
          <w:i/>
        </w:rPr>
        <w:t xml:space="preserve"> (ESRS) and </w:t>
      </w:r>
      <w:proofErr w:type="spellStart"/>
      <w:r w:rsidR="00DC0C9F" w:rsidRPr="00DC0C9F">
        <w:rPr>
          <w:i/>
        </w:rPr>
        <w:t>the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upcoming</w:t>
      </w:r>
      <w:proofErr w:type="spellEnd"/>
      <w:r w:rsidR="00DC0C9F" w:rsidRPr="00DC0C9F">
        <w:rPr>
          <w:i/>
        </w:rPr>
        <w:t xml:space="preserve"> </w:t>
      </w:r>
      <w:proofErr w:type="spellStart"/>
      <w:r w:rsidR="00DC0C9F" w:rsidRPr="00DC0C9F">
        <w:rPr>
          <w:i/>
        </w:rPr>
        <w:t>guidance</w:t>
      </w:r>
      <w:proofErr w:type="spellEnd"/>
      <w:r w:rsidR="00DC0C9F" w:rsidRPr="00DC0C9F">
        <w:rPr>
          <w:i/>
        </w:rPr>
        <w:t>.</w:t>
      </w:r>
      <w:r w:rsidR="00DC0C9F">
        <w:t xml:space="preserve">” Como se ve, en este y otros asuntos que podemos llamar sociales, </w:t>
      </w:r>
      <w:hyperlink r:id="rId12" w:history="1">
        <w:r w:rsidR="00DC0C9F" w:rsidRPr="00DC0C9F">
          <w:rPr>
            <w:rStyle w:val="Hipervnculo"/>
          </w:rPr>
          <w:t>Europa es el líder</w:t>
        </w:r>
      </w:hyperlink>
      <w:r w:rsidR="00F652AD">
        <w:t xml:space="preserve">, destacándose la </w:t>
      </w:r>
      <w:r w:rsidR="00F652AD" w:rsidRPr="00F652AD">
        <w:rPr>
          <w:i/>
        </w:rPr>
        <w:t>DIRECTIVA (UE) 2022/2464 DEL PARLAMENTO EUROPEO Y DEL CONSEJO de 14 de diciembre de 2022 por la que se modifican el Reglamento (UE) no 537/2014, la Directiva 2004/109/CE, la Directiva 2006/43/CE y la Directiva 2013/34/UE, por lo que respecta a la presentación de información sobre sostenibilidad por parte de las empresas (Texto pertinente a efectos del EEE)</w:t>
      </w:r>
      <w:r w:rsidR="004743E8">
        <w:rPr>
          <w:i/>
        </w:rPr>
        <w:t xml:space="preserve">, </w:t>
      </w:r>
      <w:r w:rsidR="004743E8">
        <w:t xml:space="preserve">que ha servido de base para los estándares emitidos por la </w:t>
      </w:r>
      <w:hyperlink r:id="rId13" w:history="1">
        <w:r w:rsidR="004743E8" w:rsidRPr="004743E8">
          <w:rPr>
            <w:rStyle w:val="Hipervnculo"/>
          </w:rPr>
          <w:t>EFRAG</w:t>
        </w:r>
      </w:hyperlink>
      <w:r w:rsidR="004743E8">
        <w:t>.</w:t>
      </w:r>
      <w:r w:rsidR="007319DF">
        <w:t xml:space="preserve"> Regresando al documento de Accountancy </w:t>
      </w:r>
      <w:proofErr w:type="spellStart"/>
      <w:r w:rsidR="007319DF">
        <w:t>Europe</w:t>
      </w:r>
      <w:proofErr w:type="spellEnd"/>
      <w:r w:rsidR="007319DF">
        <w:t xml:space="preserve"> en </w:t>
      </w:r>
      <w:proofErr w:type="spellStart"/>
      <w:r w:rsidR="007319DF">
        <w:t>el</w:t>
      </w:r>
      <w:proofErr w:type="spellEnd"/>
      <w:r w:rsidR="007319DF">
        <w:t xml:space="preserve"> se explica: “</w:t>
      </w:r>
      <w:r w:rsidR="007319DF" w:rsidRPr="007319DF">
        <w:t>Seguimos apoyando un "marco conceptual para la presentación de informes conectados" que proporcione los principios que sustentan el trabajo de la ISSB y el Consejo de Normas Internacionales de Contabilidad (IASB). No obstante, no hemos dado prioridad al proyecto de "</w:t>
      </w:r>
      <w:r w:rsidR="007319DF" w:rsidRPr="007319DF">
        <w:rPr>
          <w:i/>
        </w:rPr>
        <w:t xml:space="preserve">integración en la presentación de informes" porque creemos que es un proyecto amplio y que requiere muchos recursos, y que probablemente tardará más de dos años en </w:t>
      </w:r>
      <w:r w:rsidR="007319DF" w:rsidRPr="007319DF">
        <w:rPr>
          <w:i/>
        </w:rPr>
        <w:t>finalizarse.</w:t>
      </w:r>
      <w:r w:rsidR="007319DF">
        <w:t xml:space="preserve">” Definitivamente este desarrollo tomará mucho tiempo. Las academias deben mantenerse al día para estar listas tan pronto el proyecto empiece a completarse. Como se ve, habrá que desarrollar muchos estándares propiamente sobre la sostenibilidad. Esto abrirá otro enfoque para los contadores, que seguirán caracterizándose por su multidisciplinariedad. Una </w:t>
      </w:r>
      <w:hyperlink r:id="rId14" w:history="1">
        <w:r w:rsidR="007319DF" w:rsidRPr="007319DF">
          <w:rPr>
            <w:rStyle w:val="Hipervnculo"/>
          </w:rPr>
          <w:t>definición</w:t>
        </w:r>
      </w:hyperlink>
      <w:r w:rsidR="007319DF">
        <w:t xml:space="preserve"> muy difundida de sostenibilidad dice: “</w:t>
      </w:r>
      <w:r w:rsidR="007319DF" w:rsidRPr="007319DF">
        <w:rPr>
          <w:i/>
        </w:rPr>
        <w:t>La sostenibilidad en palabras simples, es gestionar los recursos para satisfacer las necesidades actuales, sin poner en riesgo las necesidades del futuro. Esto considerando el desarrollo social, económico y el cuidado del medio ambiente en un marco de gobernabilidad.</w:t>
      </w:r>
      <w:r w:rsidR="007319DF">
        <w:t>”</w:t>
      </w:r>
      <w:r w:rsidR="00177B9A">
        <w:t xml:space="preserve"> Consecuentemente “</w:t>
      </w:r>
      <w:r w:rsidR="00177B9A" w:rsidRPr="00177B9A">
        <w:rPr>
          <w:lang w:val="es-ES"/>
        </w:rPr>
        <w:t>En primer lugar</w:t>
      </w:r>
      <w:r w:rsidR="00177B9A" w:rsidRPr="00177B9A">
        <w:rPr>
          <w:b/>
          <w:bCs/>
          <w:lang w:val="es-ES"/>
        </w:rPr>
        <w:t>, la Sostenibilidad es asumir que la naturaleza y el</w:t>
      </w:r>
      <w:r w:rsidR="00177B9A">
        <w:rPr>
          <w:b/>
          <w:bCs/>
          <w:lang w:val="es-ES"/>
        </w:rPr>
        <w:t xml:space="preserve"> </w:t>
      </w:r>
      <w:hyperlink r:id="rId15" w:history="1">
        <w:r w:rsidR="00177B9A" w:rsidRPr="00177B9A">
          <w:rPr>
            <w:rStyle w:val="Hipervnculo"/>
            <w:b/>
            <w:bCs/>
            <w:lang w:val="es-ES"/>
          </w:rPr>
          <w:t>medio ambiente</w:t>
        </w:r>
      </w:hyperlink>
      <w:r w:rsidR="00177B9A">
        <w:rPr>
          <w:b/>
          <w:bCs/>
          <w:lang w:val="es-ES"/>
        </w:rPr>
        <w:t xml:space="preserve"> </w:t>
      </w:r>
      <w:r w:rsidR="00177B9A" w:rsidRPr="00177B9A">
        <w:rPr>
          <w:b/>
          <w:bCs/>
          <w:lang w:val="es-ES"/>
        </w:rPr>
        <w:t>no son una fuente inagotable de recursos, siendo necesario su protección y uso racional.</w:t>
      </w:r>
      <w:r w:rsidR="00177B9A">
        <w:rPr>
          <w:b/>
          <w:bCs/>
          <w:lang w:val="es-ES"/>
        </w:rPr>
        <w:t xml:space="preserve"> ―</w:t>
      </w:r>
      <w:r w:rsidR="00177B9A" w:rsidRPr="00177B9A">
        <w:t>En segundo lugar,</w:t>
      </w:r>
      <w:r w:rsidR="00177B9A">
        <w:t xml:space="preserve"> </w:t>
      </w:r>
      <w:r w:rsidR="00177B9A" w:rsidRPr="00177B9A">
        <w:rPr>
          <w:b/>
          <w:bCs/>
        </w:rPr>
        <w:t>la Sostenibilidad es promover el desarrollo social buscando la unión entre comunidades y culturas</w:t>
      </w:r>
      <w:r w:rsidR="00177B9A" w:rsidRPr="00177B9A">
        <w:t>. Con esto, busca para alcanzar niveles satisfacto</w:t>
      </w:r>
      <w:r w:rsidR="00177B9A" w:rsidRPr="00177B9A">
        <w:softHyphen/>
        <w:t>rios en la calidad de vida, salud y educación.</w:t>
      </w:r>
      <w:r w:rsidR="00177B9A">
        <w:t xml:space="preserve"> ―</w:t>
      </w:r>
      <w:r w:rsidR="00177B9A" w:rsidRPr="00177B9A">
        <w:t>En tercer lugar,</w:t>
      </w:r>
      <w:r w:rsidR="00177B9A">
        <w:t xml:space="preserve"> </w:t>
      </w:r>
      <w:r w:rsidR="00177B9A" w:rsidRPr="00177B9A">
        <w:rPr>
          <w:b/>
          <w:bCs/>
        </w:rPr>
        <w:t>la sostenibilidad es promover un crecimiento económico que genere riqueza equitativa para todos sin dañar el</w:t>
      </w:r>
      <w:r w:rsidR="00177B9A">
        <w:rPr>
          <w:b/>
          <w:bCs/>
        </w:rPr>
        <w:t xml:space="preserve"> </w:t>
      </w:r>
      <w:hyperlink r:id="rId16" w:history="1">
        <w:r w:rsidR="00177B9A" w:rsidRPr="00177B9A">
          <w:rPr>
            <w:rStyle w:val="Hipervnculo"/>
            <w:b/>
            <w:bCs/>
          </w:rPr>
          <w:t>medio ambiente</w:t>
        </w:r>
      </w:hyperlink>
      <w:r w:rsidR="00177B9A" w:rsidRPr="00177B9A">
        <w:t>.</w:t>
      </w:r>
      <w:r w:rsidR="00177B9A">
        <w:t>” Esta nueva visión trae consigo la necesidad de incluir información no financiera, por dónde empezaron muchos esfuerzos de ampliación de la información contable. Se verá con más claridad lo contable y se le distinguirá mejor de la contabilidad financiera, que para muchos equivale al género, pero es especie.</w:t>
      </w:r>
    </w:p>
    <w:p w14:paraId="149ADC02" w14:textId="73DD7DC9" w:rsidR="00177B9A" w:rsidRPr="004743E8" w:rsidRDefault="00177B9A" w:rsidP="00177B9A">
      <w:pPr>
        <w:jc w:val="right"/>
      </w:pPr>
      <w:r w:rsidRPr="00844BFA">
        <w:rPr>
          <w:i/>
        </w:rPr>
        <w:t>Hernando Bermúdez Gómez</w:t>
      </w:r>
    </w:p>
    <w:sectPr w:rsidR="00177B9A" w:rsidRPr="004743E8" w:rsidSect="00586137">
      <w:headerReference w:type="default" r:id="rId17"/>
      <w:footerReference w:type="default" r:id="rId18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EA31F" w14:textId="77777777" w:rsidR="00B44D85" w:rsidRDefault="00B44D85" w:rsidP="00EE7812">
      <w:pPr>
        <w:spacing w:after="0" w:line="240" w:lineRule="auto"/>
      </w:pPr>
      <w:r>
        <w:separator/>
      </w:r>
    </w:p>
  </w:endnote>
  <w:endnote w:type="continuationSeparator" w:id="0">
    <w:p w14:paraId="0E437F23" w14:textId="77777777" w:rsidR="00B44D85" w:rsidRDefault="00B44D85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79FCF" w14:textId="77777777" w:rsidR="00B44D85" w:rsidRDefault="00B44D85" w:rsidP="00EE7812">
      <w:pPr>
        <w:spacing w:after="0" w:line="240" w:lineRule="auto"/>
      </w:pPr>
      <w:r>
        <w:separator/>
      </w:r>
    </w:p>
  </w:footnote>
  <w:footnote w:type="continuationSeparator" w:id="0">
    <w:p w14:paraId="339BA16C" w14:textId="77777777" w:rsidR="00B44D85" w:rsidRDefault="00B44D85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5996BA53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20622D">
      <w:t>6</w:t>
    </w:r>
    <w:r w:rsidR="003C1E71">
      <w:t>80</w:t>
    </w:r>
    <w:r>
      <w:t>,</w:t>
    </w:r>
    <w:r w:rsidR="007F1F4E">
      <w:t xml:space="preserve"> </w:t>
    </w:r>
    <w:r w:rsidR="00A846C0">
      <w:t>23</w:t>
    </w:r>
    <w:r w:rsidR="001E23A5">
      <w:t xml:space="preserve"> </w:t>
    </w:r>
    <w:r w:rsidR="009365CF">
      <w:t>de</w:t>
    </w:r>
    <w:r w:rsidR="001E23A5">
      <w:t xml:space="preserve"> </w:t>
    </w:r>
    <w:r w:rsidR="00DA36EA">
      <w:t>octubre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99527">
    <w:abstractNumId w:val="0"/>
  </w:num>
  <w:num w:numId="2" w16cid:durableId="676420636">
    <w:abstractNumId w:val="21"/>
  </w:num>
  <w:num w:numId="3" w16cid:durableId="1075519051">
    <w:abstractNumId w:val="15"/>
  </w:num>
  <w:num w:numId="4" w16cid:durableId="1316299211">
    <w:abstractNumId w:val="2"/>
  </w:num>
  <w:num w:numId="5" w16cid:durableId="655302222">
    <w:abstractNumId w:val="20"/>
  </w:num>
  <w:num w:numId="6" w16cid:durableId="1942302101">
    <w:abstractNumId w:val="35"/>
  </w:num>
  <w:num w:numId="7" w16cid:durableId="1599941545">
    <w:abstractNumId w:val="13"/>
  </w:num>
  <w:num w:numId="8" w16cid:durableId="1410737366">
    <w:abstractNumId w:val="33"/>
  </w:num>
  <w:num w:numId="9" w16cid:durableId="915551234">
    <w:abstractNumId w:val="38"/>
  </w:num>
  <w:num w:numId="10" w16cid:durableId="454370452">
    <w:abstractNumId w:val="4"/>
  </w:num>
  <w:num w:numId="11" w16cid:durableId="701519764">
    <w:abstractNumId w:val="6"/>
  </w:num>
  <w:num w:numId="12" w16cid:durableId="113522403">
    <w:abstractNumId w:val="19"/>
  </w:num>
  <w:num w:numId="13" w16cid:durableId="1114134194">
    <w:abstractNumId w:val="22"/>
  </w:num>
  <w:num w:numId="14" w16cid:durableId="1825313463">
    <w:abstractNumId w:val="32"/>
  </w:num>
  <w:num w:numId="15" w16cid:durableId="1130977904">
    <w:abstractNumId w:val="9"/>
  </w:num>
  <w:num w:numId="16" w16cid:durableId="1613512454">
    <w:abstractNumId w:val="7"/>
  </w:num>
  <w:num w:numId="17" w16cid:durableId="43916365">
    <w:abstractNumId w:val="17"/>
  </w:num>
  <w:num w:numId="18" w16cid:durableId="1601377425">
    <w:abstractNumId w:val="31"/>
  </w:num>
  <w:num w:numId="19" w16cid:durableId="565725820">
    <w:abstractNumId w:val="26"/>
  </w:num>
  <w:num w:numId="20" w16cid:durableId="1369452098">
    <w:abstractNumId w:val="8"/>
  </w:num>
  <w:num w:numId="21" w16cid:durableId="1811285455">
    <w:abstractNumId w:val="27"/>
  </w:num>
  <w:num w:numId="22" w16cid:durableId="107968642">
    <w:abstractNumId w:val="28"/>
  </w:num>
  <w:num w:numId="23" w16cid:durableId="1747609364">
    <w:abstractNumId w:val="29"/>
  </w:num>
  <w:num w:numId="24" w16cid:durableId="213124024">
    <w:abstractNumId w:val="34"/>
  </w:num>
  <w:num w:numId="25" w16cid:durableId="337930104">
    <w:abstractNumId w:val="23"/>
  </w:num>
  <w:num w:numId="26" w16cid:durableId="1791894171">
    <w:abstractNumId w:val="14"/>
  </w:num>
  <w:num w:numId="27" w16cid:durableId="1871145072">
    <w:abstractNumId w:val="5"/>
  </w:num>
  <w:num w:numId="28" w16cid:durableId="2088112318">
    <w:abstractNumId w:val="24"/>
  </w:num>
  <w:num w:numId="29" w16cid:durableId="52126849">
    <w:abstractNumId w:val="1"/>
  </w:num>
  <w:num w:numId="30" w16cid:durableId="1597057639">
    <w:abstractNumId w:val="25"/>
  </w:num>
  <w:num w:numId="31" w16cid:durableId="720709455">
    <w:abstractNumId w:val="30"/>
  </w:num>
  <w:num w:numId="32" w16cid:durableId="265429597">
    <w:abstractNumId w:val="12"/>
  </w:num>
  <w:num w:numId="33" w16cid:durableId="790785268">
    <w:abstractNumId w:val="18"/>
  </w:num>
  <w:num w:numId="34" w16cid:durableId="30036834">
    <w:abstractNumId w:val="3"/>
  </w:num>
  <w:num w:numId="35" w16cid:durableId="562789186">
    <w:abstractNumId w:val="36"/>
  </w:num>
  <w:num w:numId="36" w16cid:durableId="428820403">
    <w:abstractNumId w:val="10"/>
  </w:num>
  <w:num w:numId="37" w16cid:durableId="584342907">
    <w:abstractNumId w:val="11"/>
  </w:num>
  <w:num w:numId="38" w16cid:durableId="370888060">
    <w:abstractNumId w:val="37"/>
  </w:num>
  <w:num w:numId="39" w16cid:durableId="11010275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5FEC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F23"/>
    <w:rsid w:val="00116F61"/>
    <w:rsid w:val="0011702C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70B"/>
    <w:rsid w:val="0031078C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AF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166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85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1134"/>
    <w:rsid w:val="00BC119E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BD"/>
    <w:rsid w:val="00DA3C00"/>
    <w:rsid w:val="00DA3D29"/>
    <w:rsid w:val="00DA3DA3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249"/>
    <w:rsid w:val="00F26276"/>
    <w:rsid w:val="00F262AE"/>
    <w:rsid w:val="00F262CA"/>
    <w:rsid w:val="00F26329"/>
    <w:rsid w:val="00F26379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frag.org/lab6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inance.ec.europa.eu/capital-markets-union-and-financial-markets/company-reporting-and-auditing/company-reporting/corporate-sustainability-reporting_en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responsabilidadsocial.net/medio-ambiente-que-es-definicion-caracteristicas-cuidado-y-carteles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ountancyeurope.eu/news/the-issb-should-develop-more-sustainability-reporting-standards-and-provide-support-to-enact-the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sponsabilidadsocial.net/medio-ambiente-que-es-definicion-caracteristicas-cuidado-y-cartel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sponsabilidadsocial.net/sostenibilidad-que-es-definicion-concepto-tipos-y-ejempl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0B4B2-C52D-46B4-8564-A678AC9607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595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3864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2023-10-21T23:26:00Z</dcterms:created>
  <dcterms:modified xsi:type="dcterms:W3CDTF">2023-10-21T23:26:00Z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