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12B8" w14:textId="53B64EB7" w:rsidR="00E76D18" w:rsidRPr="00E76D18" w:rsidRDefault="00E76D18" w:rsidP="00E76D18">
      <w:pPr>
        <w:keepNext/>
        <w:framePr w:dropCap="drop" w:lines="3" w:wrap="around" w:vAnchor="text" w:hAnchor="text"/>
        <w:spacing w:after="0" w:line="926" w:lineRule="exact"/>
        <w:textAlignment w:val="baseline"/>
        <w:rPr>
          <w:position w:val="-9"/>
          <w:sz w:val="123"/>
          <w:lang w:val="en-US"/>
        </w:rPr>
      </w:pPr>
      <w:r w:rsidRPr="00E76D18">
        <w:rPr>
          <w:position w:val="-9"/>
          <w:sz w:val="123"/>
          <w:lang w:val="en-US"/>
        </w:rPr>
        <w:t>E</w:t>
      </w:r>
    </w:p>
    <w:p w14:paraId="0A8B8DA9" w14:textId="4417099D" w:rsidR="00BA5A28" w:rsidRDefault="00E76D18" w:rsidP="00E76D18">
      <w:r w:rsidRPr="00E76D18">
        <w:rPr>
          <w:lang w:val="en-US"/>
        </w:rPr>
        <w:t xml:space="preserve">l </w:t>
      </w:r>
      <w:proofErr w:type="spellStart"/>
      <w:r w:rsidRPr="00E76D18">
        <w:rPr>
          <w:lang w:val="en-US"/>
        </w:rPr>
        <w:t>artículo</w:t>
      </w:r>
      <w:proofErr w:type="spellEnd"/>
      <w:r w:rsidRPr="00E76D18">
        <w:rPr>
          <w:lang w:val="en-US"/>
        </w:rPr>
        <w:t xml:space="preserve"> </w:t>
      </w:r>
      <w:proofErr w:type="spellStart"/>
      <w:r>
        <w:rPr>
          <w:lang w:val="en-US"/>
        </w:rPr>
        <w:t>titulado</w:t>
      </w:r>
      <w:proofErr w:type="spellEnd"/>
      <w:r>
        <w:rPr>
          <w:lang w:val="en-US"/>
        </w:rPr>
        <w:t xml:space="preserve"> </w:t>
      </w:r>
      <w:hyperlink r:id="rId11" w:history="1">
        <w:r w:rsidRPr="00E76D18">
          <w:rPr>
            <w:rStyle w:val="Hipervnculo"/>
            <w:i/>
            <w:iCs/>
            <w:lang w:val="en-US"/>
          </w:rPr>
          <w:t>Corporate Governance Reforms and Analyst Forecasts: International Evidence</w:t>
        </w:r>
      </w:hyperlink>
      <w:r>
        <w:rPr>
          <w:i/>
          <w:iCs/>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proofErr w:type="spellStart"/>
      <w:r w:rsidRPr="00E76D18">
        <w:rPr>
          <w:lang w:val="en-US"/>
        </w:rPr>
        <w:t>Simeng</w:t>
      </w:r>
      <w:proofErr w:type="spellEnd"/>
      <w:r w:rsidRPr="00E76D18">
        <w:rPr>
          <w:lang w:val="en-US"/>
        </w:rPr>
        <w:t xml:space="preserve"> Liu, Kun Tracy Wang</w:t>
      </w:r>
      <w:r>
        <w:rPr>
          <w:lang w:val="en-US"/>
        </w:rPr>
        <w:t xml:space="preserve"> &amp;</w:t>
      </w:r>
      <w:r w:rsidRPr="00E76D18">
        <w:rPr>
          <w:lang w:val="en-US"/>
        </w:rPr>
        <w:t xml:space="preserve"> Yue Wu</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E76D18">
        <w:rPr>
          <w:i/>
          <w:iCs/>
          <w:lang w:val="en-US"/>
        </w:rPr>
        <w:t>Abacus</w:t>
      </w:r>
      <w:r>
        <w:rPr>
          <w:lang w:val="en-US"/>
        </w:rPr>
        <w:t xml:space="preserve"> el </w:t>
      </w:r>
      <w:r w:rsidRPr="00E76D18">
        <w:rPr>
          <w:lang w:val="en-US"/>
        </w:rPr>
        <w:t>20 September 2023</w:t>
      </w:r>
      <w:r>
        <w:rPr>
          <w:lang w:val="en-US"/>
        </w:rPr>
        <w:t xml:space="preserve">, </w:t>
      </w:r>
      <w:r w:rsidRPr="00E76D18">
        <w:rPr>
          <w:lang w:val="en-US"/>
        </w:rPr>
        <w:t xml:space="preserve">se antecede del </w:t>
      </w:r>
      <w:proofErr w:type="spellStart"/>
      <w:r w:rsidRPr="00E76D18">
        <w:rPr>
          <w:lang w:val="en-US"/>
        </w:rPr>
        <w:t>siguiente</w:t>
      </w:r>
      <w:proofErr w:type="spellEnd"/>
      <w:r w:rsidRPr="00E76D18">
        <w:rPr>
          <w:lang w:val="en-US"/>
        </w:rPr>
        <w:t xml:space="preserve"> </w:t>
      </w:r>
      <w:proofErr w:type="spellStart"/>
      <w:r w:rsidRPr="00E76D18">
        <w:rPr>
          <w:lang w:val="en-US"/>
        </w:rPr>
        <w:t>resumen</w:t>
      </w:r>
      <w:proofErr w:type="spellEnd"/>
      <w:r w:rsidRPr="00E76D18">
        <w:rPr>
          <w:lang w:val="en-US"/>
        </w:rPr>
        <w:t>: “</w:t>
      </w:r>
      <w:r w:rsidRPr="00E76D18">
        <w:rPr>
          <w:i/>
          <w:iCs/>
          <w:lang w:val="en-US"/>
        </w:rPr>
        <w:t>In this study, we examine the effect of worldwide corporate governance reforms on analyst forecasts using data on firms from 41 countries that have implemented such reforms. Employing a difference-in-differences design, we find robust evidence of a significant positive effect of these reforms, which mainly promote the independence of the audit committee and auditors, on analyst forecast accuracy. We also find significant improvements in post-reform corporate governance structure and the quantity and quality of corporate disclosure, which validates the predicted economic mechanism of the impact of these reforms. Moreover, the reforms are effective in reducing analyst forecast bias and dispersion, suggesting an overall improvement in analyst forecast quality after reform implementation. Furthermore, we find a moderating effect of analyst general experience on the relationship of interest, which is consistent with the conjecture that improved corporate disclosures following reforms could be more beneficial for analysts with less experience. Overall, our findings shed new insights into how country-level corporate governance reforms worldwide shape firms’ information environment.</w:t>
      </w:r>
      <w:r w:rsidRPr="00E76D18">
        <w:rPr>
          <w:lang w:val="en-US"/>
        </w:rPr>
        <w:t>”</w:t>
      </w:r>
      <w:r>
        <w:rPr>
          <w:lang w:val="en-US"/>
        </w:rPr>
        <w:t xml:space="preserve"> </w:t>
      </w:r>
      <w:proofErr w:type="spellStart"/>
      <w:r>
        <w:rPr>
          <w:lang w:val="en-US"/>
        </w:rPr>
        <w:t>Según</w:t>
      </w:r>
      <w:proofErr w:type="spellEnd"/>
      <w:r>
        <w:rPr>
          <w:lang w:val="en-US"/>
        </w:rPr>
        <w:t xml:space="preserve"> se lee </w:t>
      </w:r>
      <w:proofErr w:type="spellStart"/>
      <w:r>
        <w:rPr>
          <w:lang w:val="en-US"/>
        </w:rPr>
        <w:t>en</w:t>
      </w:r>
      <w:proofErr w:type="spellEnd"/>
      <w:r>
        <w:rPr>
          <w:lang w:val="en-US"/>
        </w:rPr>
        <w:t xml:space="preserve"> la web de </w:t>
      </w:r>
      <w:hyperlink r:id="rId12" w:history="1">
        <w:r w:rsidRPr="000B49E8">
          <w:rPr>
            <w:rStyle w:val="Hipervnculo"/>
            <w:lang w:val="en-US"/>
          </w:rPr>
          <w:t>OECD</w:t>
        </w:r>
      </w:hyperlink>
      <w:r>
        <w:rPr>
          <w:lang w:val="en-US"/>
        </w:rPr>
        <w:t xml:space="preserve"> “</w:t>
      </w:r>
      <w:r w:rsidRPr="00E76D18">
        <w:rPr>
          <w:i/>
          <w:iCs/>
          <w:lang w:val="en-US"/>
        </w:rPr>
        <w:t xml:space="preserve">G20 Leaders endorsed the revised G20/OECD Principles of Corporate Governance at the G20 Summit on 9-10 September 2023. In the Summit Declaration, </w:t>
      </w:r>
      <w:r w:rsidRPr="00E76D18">
        <w:rPr>
          <w:i/>
          <w:iCs/>
          <w:lang w:val="en-US"/>
        </w:rPr>
        <w:t>Leaders endorsed the revised Principles "with the aim to strengthen policy and regulatory frameworks for corporate governance that support sustainability and access to finance from capital markets, which in turn can contribute to the resilience of the broader economy”</w:t>
      </w:r>
      <w:r w:rsidR="000B49E8">
        <w:rPr>
          <w:i/>
          <w:iCs/>
          <w:lang w:val="en-US"/>
        </w:rPr>
        <w:t>”</w:t>
      </w:r>
      <w:r w:rsidRPr="00E76D18">
        <w:rPr>
          <w:lang w:val="en-US"/>
        </w:rPr>
        <w:t>.</w:t>
      </w:r>
      <w:r w:rsidR="000B49E8">
        <w:rPr>
          <w:lang w:val="en-US"/>
        </w:rPr>
        <w:t xml:space="preserve"> </w:t>
      </w:r>
      <w:r w:rsidR="000B49E8" w:rsidRPr="000B49E8">
        <w:t xml:space="preserve">Sostenibilidad, acceso al mercado de capitales, resiliencia en el </w:t>
      </w:r>
      <w:r w:rsidR="000B49E8">
        <w:t>e</w:t>
      </w:r>
      <w:r w:rsidR="000B49E8" w:rsidRPr="000B49E8">
        <w:t>scenario d</w:t>
      </w:r>
      <w:r w:rsidR="000B49E8">
        <w:t>e la economía, son objetivos que se han perseguido durante muchos años a través de los principios de buen gobierno. Son visiones importantes, que tienen un gran problema: solo se ocupan de finalidades económicas y no del mejoramiento social.</w:t>
      </w:r>
      <w:r w:rsidR="00EE6378">
        <w:t xml:space="preserve"> La economía sin finalidades sociales es una peligrosa arma contra la humanidad, como muchos han señalado.</w:t>
      </w:r>
      <w:r w:rsidR="00C62241">
        <w:t xml:space="preserve"> Es necesario superar el escenario del poder absoluto de los dueños o de los administradores nombrados por estos. Evidentemente debe procurarse la eficacia, la eficiencia, la economía y la ecología de la actividad empresarial, pero todo ello supone equidad.</w:t>
      </w:r>
      <w:r w:rsidR="007E4095">
        <w:t xml:space="preserve"> Ser promotor de discriminación y de pobreza nunca es justificable, así se puedan señalar algunos beneficiados (</w:t>
      </w:r>
      <w:r w:rsidR="003B3831">
        <w:t xml:space="preserve">precisamente los que tienen dinero). Es necesario promover un gran debate sobre </w:t>
      </w:r>
      <w:r w:rsidR="00955A7C">
        <w:t>los conceptos administrativos y los legales para establecer si efectivamente respetan la moral, la ética y el bien común, o si benefician a ciertas personas en perjuicio de otras. Los contadores, como personas empoderadas sobre toda la información empresarial, pueden evaluar con objetividad cuando el cumplimiento de la ley genera equidad y cuando provoca injusticia. Conviene aprender a trabajar con expertos en derecho económico.</w:t>
      </w:r>
    </w:p>
    <w:p w14:paraId="0B635F6E" w14:textId="258D2787" w:rsidR="00955A7C" w:rsidRPr="000B49E8" w:rsidRDefault="00955A7C" w:rsidP="00955A7C">
      <w:pPr>
        <w:jc w:val="right"/>
      </w:pPr>
      <w:r w:rsidRPr="003C4ED4">
        <w:rPr>
          <w:i/>
          <w:iCs/>
        </w:rPr>
        <w:t>Hernando Bermúdez Gómez</w:t>
      </w:r>
    </w:p>
    <w:sectPr w:rsidR="00955A7C" w:rsidRPr="000B49E8"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3738" w14:textId="77777777" w:rsidR="005446A1" w:rsidRDefault="005446A1" w:rsidP="00EE7812">
      <w:pPr>
        <w:spacing w:after="0" w:line="240" w:lineRule="auto"/>
      </w:pPr>
      <w:r>
        <w:separator/>
      </w:r>
    </w:p>
  </w:endnote>
  <w:endnote w:type="continuationSeparator" w:id="0">
    <w:p w14:paraId="4BAC20EB" w14:textId="77777777" w:rsidR="005446A1" w:rsidRDefault="005446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D5E7" w14:textId="77777777" w:rsidR="005446A1" w:rsidRDefault="005446A1" w:rsidP="00EE7812">
      <w:pPr>
        <w:spacing w:after="0" w:line="240" w:lineRule="auto"/>
      </w:pPr>
      <w:r>
        <w:separator/>
      </w:r>
    </w:p>
  </w:footnote>
  <w:footnote w:type="continuationSeparator" w:id="0">
    <w:p w14:paraId="0A31A7D9" w14:textId="77777777" w:rsidR="005446A1" w:rsidRDefault="005446A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752FF8A"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70</w:t>
    </w:r>
    <w:r w:rsidR="006E079B">
      <w:t>6</w:t>
    </w:r>
    <w:r w:rsidR="00117043">
      <w:t>,</w:t>
    </w:r>
    <w:r w:rsidR="007F1F4E">
      <w:t xml:space="preserve"> </w:t>
    </w:r>
    <w:r w:rsidR="00D00048">
      <w:t>30</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16224893">
    <w:abstractNumId w:val="0"/>
  </w:num>
  <w:num w:numId="2" w16cid:durableId="1885749189">
    <w:abstractNumId w:val="21"/>
  </w:num>
  <w:num w:numId="3" w16cid:durableId="2004774177">
    <w:abstractNumId w:val="15"/>
  </w:num>
  <w:num w:numId="4" w16cid:durableId="519588179">
    <w:abstractNumId w:val="2"/>
  </w:num>
  <w:num w:numId="5" w16cid:durableId="1803110352">
    <w:abstractNumId w:val="20"/>
  </w:num>
  <w:num w:numId="6" w16cid:durableId="1952087585">
    <w:abstractNumId w:val="35"/>
  </w:num>
  <w:num w:numId="7" w16cid:durableId="1249538290">
    <w:abstractNumId w:val="13"/>
  </w:num>
  <w:num w:numId="8" w16cid:durableId="501823138">
    <w:abstractNumId w:val="33"/>
  </w:num>
  <w:num w:numId="9" w16cid:durableId="558714490">
    <w:abstractNumId w:val="38"/>
  </w:num>
  <w:num w:numId="10" w16cid:durableId="1760368160">
    <w:abstractNumId w:val="4"/>
  </w:num>
  <w:num w:numId="11" w16cid:durableId="1367833646">
    <w:abstractNumId w:val="6"/>
  </w:num>
  <w:num w:numId="12" w16cid:durableId="1107695601">
    <w:abstractNumId w:val="19"/>
  </w:num>
  <w:num w:numId="13" w16cid:durableId="1952324965">
    <w:abstractNumId w:val="22"/>
  </w:num>
  <w:num w:numId="14" w16cid:durableId="1926307137">
    <w:abstractNumId w:val="32"/>
  </w:num>
  <w:num w:numId="15" w16cid:durableId="1512722774">
    <w:abstractNumId w:val="9"/>
  </w:num>
  <w:num w:numId="16" w16cid:durableId="677346089">
    <w:abstractNumId w:val="7"/>
  </w:num>
  <w:num w:numId="17" w16cid:durableId="792483720">
    <w:abstractNumId w:val="17"/>
  </w:num>
  <w:num w:numId="18" w16cid:durableId="1735932294">
    <w:abstractNumId w:val="31"/>
  </w:num>
  <w:num w:numId="19" w16cid:durableId="1334800719">
    <w:abstractNumId w:val="26"/>
  </w:num>
  <w:num w:numId="20" w16cid:durableId="1801605497">
    <w:abstractNumId w:val="8"/>
  </w:num>
  <w:num w:numId="21" w16cid:durableId="445469090">
    <w:abstractNumId w:val="27"/>
  </w:num>
  <w:num w:numId="22" w16cid:durableId="1926571151">
    <w:abstractNumId w:val="28"/>
  </w:num>
  <w:num w:numId="23" w16cid:durableId="933829882">
    <w:abstractNumId w:val="29"/>
  </w:num>
  <w:num w:numId="24" w16cid:durableId="1487015319">
    <w:abstractNumId w:val="34"/>
  </w:num>
  <w:num w:numId="25" w16cid:durableId="327756161">
    <w:abstractNumId w:val="23"/>
  </w:num>
  <w:num w:numId="26" w16cid:durableId="1514689758">
    <w:abstractNumId w:val="14"/>
  </w:num>
  <w:num w:numId="27" w16cid:durableId="1934511075">
    <w:abstractNumId w:val="5"/>
  </w:num>
  <w:num w:numId="28" w16cid:durableId="144709938">
    <w:abstractNumId w:val="24"/>
  </w:num>
  <w:num w:numId="29" w16cid:durableId="268511888">
    <w:abstractNumId w:val="1"/>
  </w:num>
  <w:num w:numId="30" w16cid:durableId="78526471">
    <w:abstractNumId w:val="25"/>
  </w:num>
  <w:num w:numId="31" w16cid:durableId="1825050885">
    <w:abstractNumId w:val="30"/>
  </w:num>
  <w:num w:numId="32" w16cid:durableId="170608703">
    <w:abstractNumId w:val="12"/>
  </w:num>
  <w:num w:numId="33" w16cid:durableId="142310235">
    <w:abstractNumId w:val="18"/>
  </w:num>
  <w:num w:numId="34" w16cid:durableId="110784299">
    <w:abstractNumId w:val="3"/>
  </w:num>
  <w:num w:numId="35" w16cid:durableId="20937588">
    <w:abstractNumId w:val="36"/>
  </w:num>
  <w:num w:numId="36" w16cid:durableId="510602575">
    <w:abstractNumId w:val="10"/>
  </w:num>
  <w:num w:numId="37" w16cid:durableId="436556982">
    <w:abstractNumId w:val="11"/>
  </w:num>
  <w:num w:numId="38" w16cid:durableId="1014040545">
    <w:abstractNumId w:val="37"/>
  </w:num>
  <w:num w:numId="39" w16cid:durableId="14071425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3D"/>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1"/>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ecd.org/corporate/revised-g20-oecd-principles-corporate-governance.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11/abac.1230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6534FDD5-5420-4150-A7B2-6BAE68A8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2834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2023-10-27T23:25:00Z</dcterms:created>
  <dcterms:modified xsi:type="dcterms:W3CDTF">2023-10-27T23:25:00Z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