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8238D" w14:textId="7008A9CD" w:rsidR="00DB7680" w:rsidRPr="00DB7680" w:rsidRDefault="00DB7680" w:rsidP="00DB7680">
      <w:pPr>
        <w:keepNext/>
        <w:framePr w:dropCap="drop" w:lines="3" w:wrap="around" w:vAnchor="text" w:hAnchor="text"/>
        <w:spacing w:after="0" w:line="926" w:lineRule="exact"/>
        <w:textAlignment w:val="baseline"/>
        <w:rPr>
          <w:position w:val="-9"/>
          <w:sz w:val="123"/>
          <w:lang w:val="en-US"/>
        </w:rPr>
      </w:pPr>
      <w:r w:rsidRPr="00DB7680">
        <w:rPr>
          <w:position w:val="-9"/>
          <w:sz w:val="123"/>
          <w:lang w:val="en-US"/>
        </w:rPr>
        <w:t>L</w:t>
      </w:r>
    </w:p>
    <w:p w14:paraId="51EF6C38" w14:textId="2C6799BB" w:rsidR="00BC4752" w:rsidRDefault="00DB7680" w:rsidP="00D63B3D">
      <w:r>
        <w:rPr>
          <w:lang w:val="en-US"/>
        </w:rPr>
        <w:t xml:space="preserve">os </w:t>
      </w:r>
      <w:proofErr w:type="spellStart"/>
      <w:r>
        <w:rPr>
          <w:lang w:val="en-US"/>
        </w:rPr>
        <w:t>investigadores</w:t>
      </w:r>
      <w:proofErr w:type="spellEnd"/>
      <w:r>
        <w:rPr>
          <w:lang w:val="en-US"/>
        </w:rPr>
        <w:t xml:space="preserve"> </w:t>
      </w:r>
      <w:r w:rsidRPr="00DB7680">
        <w:rPr>
          <w:lang w:val="en-US"/>
        </w:rPr>
        <w:t xml:space="preserve">Yuanyuan Hu, Nirmala Nath, </w:t>
      </w:r>
      <w:proofErr w:type="spellStart"/>
      <w:r w:rsidRPr="00DB7680">
        <w:rPr>
          <w:lang w:val="en-US"/>
        </w:rPr>
        <w:t>Yanhui</w:t>
      </w:r>
      <w:proofErr w:type="spellEnd"/>
      <w:r w:rsidRPr="00DB7680">
        <w:rPr>
          <w:lang w:val="en-US"/>
        </w:rPr>
        <w:t xml:space="preserve"> Zhu &amp; Fawzi </w:t>
      </w:r>
      <w:proofErr w:type="spellStart"/>
      <w:r w:rsidRPr="00DB7680">
        <w:rPr>
          <w:lang w:val="en-US"/>
        </w:rPr>
        <w:t>Laswad</w:t>
      </w:r>
      <w:proofErr w:type="spellEnd"/>
      <w:r w:rsidRPr="00DB7680">
        <w:rPr>
          <w:lang w:val="en-US"/>
        </w:rPr>
        <w:t xml:space="preserve"> (2023)</w:t>
      </w:r>
      <w:r>
        <w:rPr>
          <w:lang w:val="en-US"/>
        </w:rPr>
        <w:t xml:space="preserve">, </w:t>
      </w:r>
      <w:proofErr w:type="spellStart"/>
      <w:r>
        <w:rPr>
          <w:lang w:val="en-US"/>
        </w:rPr>
        <w:t>en</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artículo</w:t>
      </w:r>
      <w:proofErr w:type="spellEnd"/>
      <w:r>
        <w:rPr>
          <w:lang w:val="en-US"/>
        </w:rPr>
        <w:t xml:space="preserve"> </w:t>
      </w:r>
      <w:hyperlink r:id="rId11" w:history="1">
        <w:r w:rsidRPr="00DB7680">
          <w:rPr>
            <w:rStyle w:val="Hipervnculo"/>
            <w:i/>
            <w:iCs/>
            <w:lang w:val="en-US"/>
          </w:rPr>
          <w:t>Accounting students’ online engagement, choice of course delivery format and their effects on academic performance</w:t>
        </w:r>
      </w:hyperlink>
      <w:r w:rsidRPr="00DB7680">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Pr>
          <w:lang w:val="en-US"/>
        </w:rPr>
        <w:t xml:space="preserve"> </w:t>
      </w:r>
      <w:r w:rsidRPr="00DB7680">
        <w:rPr>
          <w:i/>
          <w:iCs/>
          <w:lang w:val="en-US"/>
        </w:rPr>
        <w:t>Accounting Education</w:t>
      </w:r>
      <w:r w:rsidRPr="00DB7680">
        <w:rPr>
          <w:lang w:val="en-US"/>
        </w:rPr>
        <w:t xml:space="preserve">, </w:t>
      </w:r>
      <w:proofErr w:type="spellStart"/>
      <w:r>
        <w:rPr>
          <w:lang w:val="en-US"/>
        </w:rPr>
        <w:t>resumieron</w:t>
      </w:r>
      <w:proofErr w:type="spellEnd"/>
      <w:r>
        <w:rPr>
          <w:lang w:val="en-US"/>
        </w:rPr>
        <w:t xml:space="preserve">: </w:t>
      </w:r>
      <w:r w:rsidRPr="00DB7680">
        <w:rPr>
          <w:lang w:val="en-US"/>
        </w:rPr>
        <w:t>“</w:t>
      </w:r>
      <w:r w:rsidRPr="00DB7680">
        <w:rPr>
          <w:i/>
          <w:iCs/>
          <w:lang w:val="en-US"/>
        </w:rPr>
        <w:t>This study examines the effects of synchronous and non-synchronous online engagement on the academic performance of accounting students at a New Zealand university based on their choice of course delivery format – either distance learning or face-to-face learning with online components (F2F+). We track accounting students as they complete three financial accounting courses over three consecutive years. Drawing on social constructivism theory, we find that both synchronous and non-synchronous student online engagement are positively related to their academic performance, and this positive effect varies across assessment types. The positive effect of synchronous online engagement on student performance is more pronounced when students choose to learn via F2F+ rather than via distance learning. Further analyses show that the positive effect persists among students with different characteristics. These findings highlight the useful role of student online engagement in learning and provide support for universities to allow students to choose their preferred course delivery format.</w:t>
      </w:r>
      <w:r w:rsidRPr="00DB7680">
        <w:rPr>
          <w:lang w:val="en-US"/>
        </w:rPr>
        <w:t>”</w:t>
      </w:r>
      <w:r>
        <w:rPr>
          <w:lang w:val="en-US"/>
        </w:rPr>
        <w:t xml:space="preserve"> </w:t>
      </w:r>
      <w:r w:rsidRPr="00DB7680">
        <w:t>Este ensayo muestra que la forma de educar, presencial, remota (</w:t>
      </w:r>
      <w:r>
        <w:t>sincrónica o asincrónica) tiene diferentes impactos sobre los estudiantes, demostrando así que son las características de éstos las que deben tenerse en cuenta para resolver este asunto.</w:t>
      </w:r>
      <w:r w:rsidR="0022428E">
        <w:t xml:space="preserve"> En otras </w:t>
      </w:r>
      <w:r w:rsidR="00690EB1">
        <w:t>palabras,</w:t>
      </w:r>
      <w:r w:rsidR="0022428E">
        <w:t xml:space="preserve"> hay una parte del proceso </w:t>
      </w:r>
      <w:r w:rsidR="0022428E">
        <w:t>de aprender que debe ser desarrollada por cada individuo, como las lecturas previas. Pero hay otras en las que debe establecerse un diálogo entre los profesores y los estudiantes empeñados en discutir ciertos asuntos respecto de los cuales se requiere mayor profundidad.</w:t>
      </w:r>
      <w:r w:rsidR="00E93807">
        <w:t xml:space="preserve"> Sin duda el punto de partida es el verdadero interés de un estudiante por aprender la contaduría. Este requiere ser reforzado, fortalecido, por los profesores de los primeros niveles. Muchas veces el mensaje </w:t>
      </w:r>
      <w:r w:rsidR="00690EB1">
        <w:t>a</w:t>
      </w:r>
      <w:r w:rsidR="00E93807">
        <w:t xml:space="preserve"> los adolescentes es equivocado, pues enfatizan en la técnica y en la elaboración de informes, cuando el nivel profesional requiere necesariamente de análisis y desarrollos de mayor complejidad.</w:t>
      </w:r>
      <w:r w:rsidR="00690EB1">
        <w:t xml:space="preserve"> Un gran obstáculo es la deficiencia lectora que tienen la mayoría de los principiantes de la carrera, que se cansan rápidamente y que solo ponen una escasa atención al texto. Es necesario insistir en esta habilidad y comprobar, haciéndoles leer en voz alta, si efectivamente leen bien. Algunos poseen un muy pequeño vocabulario, que se debe aumentar con la constante consulta de los diccionarios con autoridad. Muchos textos son verdaderamente inapropiados por la vaguedad con la que tratan asuntos fundamentales. Miles de páginas sobre la técnica y apenas unos párrafos sobre la teoría. Es necesario mantener la historia, la geografía, la cultura que corresponde a cada libro. Muchas veces presentamos el conocimiento como sin tiempo ni espacio, lo cual es un inmenso error.</w:t>
      </w:r>
      <w:r w:rsidR="00C574EC">
        <w:t xml:space="preserve"> Algunas traducciones son también adaptaciones que las hacen más idóneas. Sabemos que la contaduría es muy atractiva.</w:t>
      </w:r>
    </w:p>
    <w:p w14:paraId="0927B017" w14:textId="31E34314" w:rsidR="00C574EC" w:rsidRPr="00DB7680" w:rsidRDefault="00C574EC" w:rsidP="00C574EC">
      <w:pPr>
        <w:jc w:val="right"/>
      </w:pPr>
      <w:r w:rsidRPr="003C4ED4">
        <w:rPr>
          <w:i/>
          <w:iCs/>
        </w:rPr>
        <w:t>Hernando Bermúdez Gómez</w:t>
      </w:r>
    </w:p>
    <w:sectPr w:rsidR="00C574EC" w:rsidRPr="00DB7680"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A8E43" w14:textId="77777777" w:rsidR="006F2350" w:rsidRDefault="006F2350" w:rsidP="00EE7812">
      <w:pPr>
        <w:spacing w:after="0" w:line="240" w:lineRule="auto"/>
      </w:pPr>
      <w:r>
        <w:separator/>
      </w:r>
    </w:p>
  </w:endnote>
  <w:endnote w:type="continuationSeparator" w:id="0">
    <w:p w14:paraId="6F45ED5E" w14:textId="77777777" w:rsidR="006F2350" w:rsidRDefault="006F235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72F84" w14:textId="77777777" w:rsidR="006F2350" w:rsidRDefault="006F2350" w:rsidP="00EE7812">
      <w:pPr>
        <w:spacing w:after="0" w:line="240" w:lineRule="auto"/>
      </w:pPr>
      <w:r>
        <w:separator/>
      </w:r>
    </w:p>
  </w:footnote>
  <w:footnote w:type="continuationSeparator" w:id="0">
    <w:p w14:paraId="2DA6FAD4" w14:textId="77777777" w:rsidR="006F2350" w:rsidRDefault="006F235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1FF6CD14"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534629">
      <w:t>1</w:t>
    </w:r>
    <w:r w:rsidR="001D70C5">
      <w:t>2</w:t>
    </w:r>
    <w:r w:rsidR="00117043">
      <w:t>,</w:t>
    </w:r>
    <w:r w:rsidR="007F1F4E">
      <w:t xml:space="preserve"> </w:t>
    </w:r>
    <w:r w:rsidR="00CB4601">
      <w:t>6</w:t>
    </w:r>
    <w:r w:rsidR="001E23A5">
      <w:t xml:space="preserve"> </w:t>
    </w:r>
    <w:r w:rsidR="009365CF">
      <w:t>de</w:t>
    </w:r>
    <w:r w:rsidR="001E23A5">
      <w:t xml:space="preserve"> </w:t>
    </w:r>
    <w:r w:rsidR="00CB4601">
      <w:t>noviembre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49759138">
    <w:abstractNumId w:val="0"/>
  </w:num>
  <w:num w:numId="2" w16cid:durableId="439765019">
    <w:abstractNumId w:val="21"/>
  </w:num>
  <w:num w:numId="3" w16cid:durableId="824972002">
    <w:abstractNumId w:val="15"/>
  </w:num>
  <w:num w:numId="4" w16cid:durableId="284192256">
    <w:abstractNumId w:val="2"/>
  </w:num>
  <w:num w:numId="5" w16cid:durableId="779641554">
    <w:abstractNumId w:val="20"/>
  </w:num>
  <w:num w:numId="6" w16cid:durableId="2086762166">
    <w:abstractNumId w:val="35"/>
  </w:num>
  <w:num w:numId="7" w16cid:durableId="587229668">
    <w:abstractNumId w:val="13"/>
  </w:num>
  <w:num w:numId="8" w16cid:durableId="937446260">
    <w:abstractNumId w:val="33"/>
  </w:num>
  <w:num w:numId="9" w16cid:durableId="1287201750">
    <w:abstractNumId w:val="38"/>
  </w:num>
  <w:num w:numId="10" w16cid:durableId="1706829635">
    <w:abstractNumId w:val="4"/>
  </w:num>
  <w:num w:numId="11" w16cid:durableId="938678403">
    <w:abstractNumId w:val="6"/>
  </w:num>
  <w:num w:numId="12" w16cid:durableId="808596533">
    <w:abstractNumId w:val="19"/>
  </w:num>
  <w:num w:numId="13" w16cid:durableId="1853255861">
    <w:abstractNumId w:val="22"/>
  </w:num>
  <w:num w:numId="14" w16cid:durableId="871311049">
    <w:abstractNumId w:val="32"/>
  </w:num>
  <w:num w:numId="15" w16cid:durableId="1660421540">
    <w:abstractNumId w:val="9"/>
  </w:num>
  <w:num w:numId="16" w16cid:durableId="1562790621">
    <w:abstractNumId w:val="7"/>
  </w:num>
  <w:num w:numId="17" w16cid:durableId="2055351600">
    <w:abstractNumId w:val="17"/>
  </w:num>
  <w:num w:numId="18" w16cid:durableId="1561938212">
    <w:abstractNumId w:val="31"/>
  </w:num>
  <w:num w:numId="19" w16cid:durableId="1657876638">
    <w:abstractNumId w:val="26"/>
  </w:num>
  <w:num w:numId="20" w16cid:durableId="2067289163">
    <w:abstractNumId w:val="8"/>
  </w:num>
  <w:num w:numId="21" w16cid:durableId="957447053">
    <w:abstractNumId w:val="27"/>
  </w:num>
  <w:num w:numId="22" w16cid:durableId="863904813">
    <w:abstractNumId w:val="28"/>
  </w:num>
  <w:num w:numId="23" w16cid:durableId="95368285">
    <w:abstractNumId w:val="29"/>
  </w:num>
  <w:num w:numId="24" w16cid:durableId="1680278424">
    <w:abstractNumId w:val="34"/>
  </w:num>
  <w:num w:numId="25" w16cid:durableId="276985041">
    <w:abstractNumId w:val="23"/>
  </w:num>
  <w:num w:numId="26" w16cid:durableId="776825197">
    <w:abstractNumId w:val="14"/>
  </w:num>
  <w:num w:numId="27" w16cid:durableId="1134063956">
    <w:abstractNumId w:val="5"/>
  </w:num>
  <w:num w:numId="28" w16cid:durableId="1625650215">
    <w:abstractNumId w:val="24"/>
  </w:num>
  <w:num w:numId="29" w16cid:durableId="1721172161">
    <w:abstractNumId w:val="1"/>
  </w:num>
  <w:num w:numId="30" w16cid:durableId="750539285">
    <w:abstractNumId w:val="25"/>
  </w:num>
  <w:num w:numId="31" w16cid:durableId="1557888925">
    <w:abstractNumId w:val="30"/>
  </w:num>
  <w:num w:numId="32" w16cid:durableId="545680143">
    <w:abstractNumId w:val="12"/>
  </w:num>
  <w:num w:numId="33" w16cid:durableId="2054889132">
    <w:abstractNumId w:val="18"/>
  </w:num>
  <w:num w:numId="34" w16cid:durableId="1317684145">
    <w:abstractNumId w:val="3"/>
  </w:num>
  <w:num w:numId="35" w16cid:durableId="21975832">
    <w:abstractNumId w:val="36"/>
  </w:num>
  <w:num w:numId="36" w16cid:durableId="501164821">
    <w:abstractNumId w:val="10"/>
  </w:num>
  <w:num w:numId="37" w16cid:durableId="429014039">
    <w:abstractNumId w:val="11"/>
  </w:num>
  <w:num w:numId="38" w16cid:durableId="1588349256">
    <w:abstractNumId w:val="37"/>
  </w:num>
  <w:num w:numId="39" w16cid:durableId="204467403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A6"/>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50"/>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841"/>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3D"/>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A65"/>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10.1080/09639284.2023.2254298"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1976BE6F-9372-4365-99F6-4B82B3883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505</Words>
  <Characters>2783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2023-11-05T15:41:00Z</dcterms:created>
  <dcterms:modified xsi:type="dcterms:W3CDTF">2023-11-05T15:41:00Z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