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3455" w14:textId="32B1CC2E" w:rsidR="00CA7CE6" w:rsidRPr="00CA7CE6" w:rsidRDefault="00CA7CE6" w:rsidP="00CA7CE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A7CE6">
        <w:rPr>
          <w:position w:val="-9"/>
          <w:sz w:val="123"/>
        </w:rPr>
        <w:t>E</w:t>
      </w:r>
    </w:p>
    <w:p w14:paraId="65A1D601" w14:textId="527FFC20" w:rsidR="002F5C95" w:rsidRDefault="007E72A7" w:rsidP="00CB2553">
      <w:r>
        <w:t xml:space="preserve">n </w:t>
      </w:r>
      <w:r w:rsidR="000E17B7">
        <w:t xml:space="preserve">un artículo anterior intentamos enumerar varios de los contratos típicos que podrían utilizarse para formalizar </w:t>
      </w:r>
      <w:r w:rsidR="00CA7CE6">
        <w:t>el compromiso en favor de un tercero de realizar ciertas actividades profesionales</w:t>
      </w:r>
      <w:r w:rsidR="00B61273">
        <w:t xml:space="preserve"> propias de los contadores</w:t>
      </w:r>
      <w:r w:rsidR="00CA7CE6">
        <w:t>.</w:t>
      </w:r>
      <w:r w:rsidR="00C87A98">
        <w:t xml:space="preserve"> Muchos creen que si no se suscribe un mismo documento por las partes implicadas en esas relaciones</w:t>
      </w:r>
      <w:r w:rsidR="00B87694">
        <w:t xml:space="preserve"> no habría ningún contrato. Algunos se atreven a aludir al contrato realidad y otros a </w:t>
      </w:r>
      <w:r w:rsidR="006C3A89">
        <w:t>mencionar contratos de hecho.</w:t>
      </w:r>
      <w:r w:rsidR="00047C80">
        <w:t xml:space="preserve"> Pueden estar muy equivocados. Por lo general los contratos </w:t>
      </w:r>
      <w:r w:rsidR="000C4A20">
        <w:t xml:space="preserve">por los que una parte profesional se obliga a obrar en favor de otra son el producto de una oferta o cotización aceptada. </w:t>
      </w:r>
      <w:r w:rsidR="00127C57">
        <w:t>Así lo consagra expresamente el Código de Comercio</w:t>
      </w:r>
      <w:r w:rsidR="00EB74B9">
        <w:t>, que, de suyo, aplica a los comerciantes y, extensivamente</w:t>
      </w:r>
      <w:r w:rsidR="00692939">
        <w:t>,</w:t>
      </w:r>
      <w:r w:rsidR="00EB74B9">
        <w:t xml:space="preserve"> </w:t>
      </w:r>
      <w:r w:rsidR="00C9227B">
        <w:t xml:space="preserve">en tratándose de </w:t>
      </w:r>
      <w:r w:rsidR="009F0FC3">
        <w:t>contadores</w:t>
      </w:r>
      <w:r w:rsidR="00C9227B">
        <w:t xml:space="preserve">, </w:t>
      </w:r>
      <w:r w:rsidR="00EB74B9">
        <w:t>a muchas personas jurídicas que no son comerciantes.</w:t>
      </w:r>
      <w:r w:rsidR="00863034">
        <w:t xml:space="preserve"> </w:t>
      </w:r>
      <w:r w:rsidR="00A71707">
        <w:t>Aún e</w:t>
      </w:r>
      <w:r w:rsidR="00863034">
        <w:t xml:space="preserve">n los casos en que no fuere aplicable el derecho mercantil es viable probar la existencia de un </w:t>
      </w:r>
      <w:r w:rsidR="00A71707">
        <w:t>contrato,</w:t>
      </w:r>
      <w:r w:rsidR="00863034">
        <w:t xml:space="preserve"> aunque no se haya firmado </w:t>
      </w:r>
      <w:r w:rsidR="00A71707">
        <w:t>una minuta por las partes. Quienes aducen lo contrario generalmente están equivocados.</w:t>
      </w:r>
      <w:r w:rsidR="009D6650">
        <w:t xml:space="preserve"> Los contratos que se forman por virtud de una cotización u oferta aceptada o por la simple concurrencia de voluntades, es decir, por un consenso, son válidos tanto </w:t>
      </w:r>
      <w:r w:rsidR="0037050F">
        <w:t>si se pacta con un contador persona natural o con una de firma de contadores.</w:t>
      </w:r>
      <w:r w:rsidR="000056E1">
        <w:t xml:space="preserve"> Con esto no se quiere decir que sea lo mismo documentar los contratos que no hacerlo. Obviamente lo primero es muy preferible y no debe considerarse como diligente por parte de un contador presentar cotizaciones orales o aceptar respuestas verbales.</w:t>
      </w:r>
      <w:r w:rsidR="005935B1">
        <w:t xml:space="preserve"> Pero aun faltando diligencia, cuidado, atención, puede existir un contrato.</w:t>
      </w:r>
      <w:r w:rsidR="00C54C7B">
        <w:t xml:space="preserve"> </w:t>
      </w:r>
      <w:r w:rsidR="00C54C7B">
        <w:t xml:space="preserve">Los contratos se hacen para cumplirse. Si el cliente decide no pagar, </w:t>
      </w:r>
      <w:r w:rsidR="002F0361">
        <w:t>muy seguramente no podrá justificarse en la falta de la minuta o documento suscrito por las partes. Así que</w:t>
      </w:r>
      <w:r w:rsidR="00B240DA">
        <w:t>,</w:t>
      </w:r>
      <w:r w:rsidR="002F0361">
        <w:t xml:space="preserve"> con casi certeza</w:t>
      </w:r>
      <w:r w:rsidR="00B240DA">
        <w:t>,</w:t>
      </w:r>
      <w:r w:rsidR="002F0361">
        <w:t xml:space="preserve"> estará incumpliendo un contrato.</w:t>
      </w:r>
      <w:r w:rsidR="009F4E2F">
        <w:t xml:space="preserve"> En primer lugar, el contador puede </w:t>
      </w:r>
      <w:r w:rsidR="00B240DA">
        <w:t xml:space="preserve">obrar según se lo permite la </w:t>
      </w:r>
      <w:hyperlink r:id="rId11" w:history="1">
        <w:r w:rsidR="00B240DA" w:rsidRPr="00395E5B">
          <w:rPr>
            <w:rStyle w:val="Hipervnculo"/>
          </w:rPr>
          <w:t>Ley 43 de 1990</w:t>
        </w:r>
      </w:hyperlink>
      <w:r w:rsidR="007F5004">
        <w:t xml:space="preserve"> cuando señala: </w:t>
      </w:r>
      <w:r w:rsidR="00395E5B">
        <w:t>“</w:t>
      </w:r>
      <w:r w:rsidR="007F5004" w:rsidRPr="009D484A">
        <w:rPr>
          <w:i/>
          <w:iCs/>
        </w:rPr>
        <w:t xml:space="preserve">Artículo 44. El Contador Público podrá interrumpir la prestación de sus servicios </w:t>
      </w:r>
      <w:proofErr w:type="gramStart"/>
      <w:r w:rsidR="007F5004" w:rsidRPr="009D484A">
        <w:rPr>
          <w:i/>
          <w:iCs/>
        </w:rPr>
        <w:t>en razón de</w:t>
      </w:r>
      <w:proofErr w:type="gramEnd"/>
      <w:r w:rsidR="007F5004" w:rsidRPr="009D484A">
        <w:rPr>
          <w:i/>
          <w:iCs/>
        </w:rPr>
        <w:t xml:space="preserve"> los siguientes motivos: </w:t>
      </w:r>
      <w:r w:rsidR="00395E5B" w:rsidRPr="009D484A">
        <w:rPr>
          <w:i/>
          <w:iCs/>
        </w:rPr>
        <w:t>(…)</w:t>
      </w:r>
      <w:r w:rsidR="009D484A" w:rsidRPr="009D484A">
        <w:rPr>
          <w:i/>
          <w:iCs/>
        </w:rPr>
        <w:t xml:space="preserve"> </w:t>
      </w:r>
      <w:r w:rsidR="007F5004" w:rsidRPr="009D484A">
        <w:rPr>
          <w:i/>
          <w:iCs/>
        </w:rPr>
        <w:t>b) Que el usuario del servicio incumpla con las obligaciones convenidas con el Contador Público</w:t>
      </w:r>
      <w:r w:rsidR="007F5004">
        <w:t>.</w:t>
      </w:r>
      <w:r w:rsidR="009D484A">
        <w:t xml:space="preserve">” Aún más: el profesional podrá aplicar el </w:t>
      </w:r>
      <w:hyperlink r:id="rId12" w:history="1">
        <w:r w:rsidR="009D484A" w:rsidRPr="00E35B93">
          <w:rPr>
            <w:rStyle w:val="Hipervnculo"/>
          </w:rPr>
          <w:t>Có</w:t>
        </w:r>
        <w:r w:rsidR="00A41258" w:rsidRPr="00E35B93">
          <w:rPr>
            <w:rStyle w:val="Hipervnculo"/>
          </w:rPr>
          <w:t>digo Civil</w:t>
        </w:r>
      </w:hyperlink>
      <w:r w:rsidR="00A41258">
        <w:t xml:space="preserve"> que establece: “</w:t>
      </w:r>
      <w:r w:rsidR="00CB2553" w:rsidRPr="00CB2553">
        <w:rPr>
          <w:i/>
          <w:iCs/>
        </w:rPr>
        <w:t>Art. 1546. En los contratos bilaterales va envuelta la condición resolutoria en caso de no cumplirse por uno de los contratantes lo pactado. ―Pero en tal caso podrá el otro contratante pedir a su arbitrio, o la resolución o el cumplimiento del contrato con indemnización de perjuicios.</w:t>
      </w:r>
      <w:r w:rsidR="00CB2553">
        <w:t>”</w:t>
      </w:r>
      <w:r w:rsidR="00BB258E">
        <w:t xml:space="preserve"> Es cuestión de justicia, en su modalidad retributiva. No es justo exigir a una persona que trabaje gratuitamente</w:t>
      </w:r>
      <w:r w:rsidR="006565BA">
        <w:t>, o que espere indefinidamente la cancelación de sus derechos económicos.</w:t>
      </w:r>
      <w:r w:rsidR="007D0989">
        <w:t xml:space="preserve"> </w:t>
      </w:r>
      <w:r w:rsidR="00C72630">
        <w:t>No entendemos cómo puede haber organismos, funcionarios o profesionales que piensen lo contrario.</w:t>
      </w:r>
      <w:r w:rsidR="002F024B">
        <w:t xml:space="preserve"> </w:t>
      </w:r>
      <w:r w:rsidR="00A5253D">
        <w:t>Lo anterior tampoco quiere decir que un profesional pueda no entregar los trabajos que le pagaron</w:t>
      </w:r>
      <w:r w:rsidR="00D17C52">
        <w:t xml:space="preserve">, retener </w:t>
      </w:r>
      <w:r w:rsidR="00297253">
        <w:t>cualquier documento o libro de su cliente, cobrar justicia por su propia mano</w:t>
      </w:r>
      <w:r w:rsidR="002E660A">
        <w:t>, maltratar a personas relacionadas con el cliente como sus familiares o empleados</w:t>
      </w:r>
      <w:r w:rsidR="00A3207E">
        <w:t>.</w:t>
      </w:r>
      <w:r w:rsidR="00E93704">
        <w:t xml:space="preserve"> Siempre hay que recordar que el poder para hacer cumplir las obligaciones está en manos de las autoridades, administrativas o judiciales.</w:t>
      </w:r>
    </w:p>
    <w:p w14:paraId="54EDA6A7" w14:textId="47B3149A" w:rsidR="00E93704" w:rsidRPr="009F12E5" w:rsidRDefault="00E93704" w:rsidP="00E93704">
      <w:pPr>
        <w:jc w:val="right"/>
      </w:pPr>
      <w:r w:rsidRPr="003C4ED4">
        <w:rPr>
          <w:i/>
          <w:iCs/>
        </w:rPr>
        <w:t>Hernando Bermúdez Gómez</w:t>
      </w:r>
    </w:p>
    <w:sectPr w:rsidR="00E93704" w:rsidRPr="009F12E5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EFE9" w14:textId="77777777" w:rsidR="000658D1" w:rsidRDefault="000658D1" w:rsidP="00EE7812">
      <w:pPr>
        <w:spacing w:after="0" w:line="240" w:lineRule="auto"/>
      </w:pPr>
      <w:r>
        <w:separator/>
      </w:r>
    </w:p>
  </w:endnote>
  <w:endnote w:type="continuationSeparator" w:id="0">
    <w:p w14:paraId="252C79D5" w14:textId="77777777" w:rsidR="000658D1" w:rsidRDefault="000658D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FB94" w14:textId="77777777" w:rsidR="000658D1" w:rsidRDefault="000658D1" w:rsidP="00EE7812">
      <w:pPr>
        <w:spacing w:after="0" w:line="240" w:lineRule="auto"/>
      </w:pPr>
      <w:r>
        <w:separator/>
      </w:r>
    </w:p>
  </w:footnote>
  <w:footnote w:type="continuationSeparator" w:id="0">
    <w:p w14:paraId="06764B9C" w14:textId="77777777" w:rsidR="000658D1" w:rsidRDefault="000658D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3027C710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B22EFE">
      <w:t>7</w:t>
    </w:r>
    <w:r w:rsidR="003F3FEE">
      <w:t>8</w:t>
    </w:r>
    <w:r w:rsidR="001A237D">
      <w:t>8</w:t>
    </w:r>
    <w:r w:rsidR="00117043">
      <w:t>,</w:t>
    </w:r>
    <w:r w:rsidR="007F1F4E">
      <w:t xml:space="preserve"> </w:t>
    </w:r>
    <w:r w:rsidR="00BE368B">
      <w:t>11</w:t>
    </w:r>
    <w:r w:rsidR="001E23A5">
      <w:t xml:space="preserve"> </w:t>
    </w:r>
    <w:r w:rsidR="009365CF">
      <w:t>de</w:t>
    </w:r>
    <w:r w:rsidR="001E23A5">
      <w:t xml:space="preserve"> </w:t>
    </w:r>
    <w:r w:rsidR="0091439B">
      <w:t>diciembre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26203">
    <w:abstractNumId w:val="0"/>
  </w:num>
  <w:num w:numId="2" w16cid:durableId="1732583361">
    <w:abstractNumId w:val="21"/>
  </w:num>
  <w:num w:numId="3" w16cid:durableId="501819998">
    <w:abstractNumId w:val="15"/>
  </w:num>
  <w:num w:numId="4" w16cid:durableId="855119791">
    <w:abstractNumId w:val="2"/>
  </w:num>
  <w:num w:numId="5" w16cid:durableId="103504633">
    <w:abstractNumId w:val="20"/>
  </w:num>
  <w:num w:numId="6" w16cid:durableId="1056513113">
    <w:abstractNumId w:val="35"/>
  </w:num>
  <w:num w:numId="7" w16cid:durableId="30230108">
    <w:abstractNumId w:val="13"/>
  </w:num>
  <w:num w:numId="8" w16cid:durableId="1197622490">
    <w:abstractNumId w:val="33"/>
  </w:num>
  <w:num w:numId="9" w16cid:durableId="2105764660">
    <w:abstractNumId w:val="38"/>
  </w:num>
  <w:num w:numId="10" w16cid:durableId="1557474766">
    <w:abstractNumId w:val="4"/>
  </w:num>
  <w:num w:numId="11" w16cid:durableId="1127817935">
    <w:abstractNumId w:val="6"/>
  </w:num>
  <w:num w:numId="12" w16cid:durableId="1099372752">
    <w:abstractNumId w:val="19"/>
  </w:num>
  <w:num w:numId="13" w16cid:durableId="1820876959">
    <w:abstractNumId w:val="22"/>
  </w:num>
  <w:num w:numId="14" w16cid:durableId="238098792">
    <w:abstractNumId w:val="32"/>
  </w:num>
  <w:num w:numId="15" w16cid:durableId="1011181974">
    <w:abstractNumId w:val="9"/>
  </w:num>
  <w:num w:numId="16" w16cid:durableId="373849838">
    <w:abstractNumId w:val="7"/>
  </w:num>
  <w:num w:numId="17" w16cid:durableId="359671062">
    <w:abstractNumId w:val="17"/>
  </w:num>
  <w:num w:numId="18" w16cid:durableId="194009118">
    <w:abstractNumId w:val="31"/>
  </w:num>
  <w:num w:numId="19" w16cid:durableId="2022926632">
    <w:abstractNumId w:val="26"/>
  </w:num>
  <w:num w:numId="20" w16cid:durableId="1772238642">
    <w:abstractNumId w:val="8"/>
  </w:num>
  <w:num w:numId="21" w16cid:durableId="177962061">
    <w:abstractNumId w:val="27"/>
  </w:num>
  <w:num w:numId="22" w16cid:durableId="138807774">
    <w:abstractNumId w:val="28"/>
  </w:num>
  <w:num w:numId="23" w16cid:durableId="434132490">
    <w:abstractNumId w:val="29"/>
  </w:num>
  <w:num w:numId="24" w16cid:durableId="1688631165">
    <w:abstractNumId w:val="34"/>
  </w:num>
  <w:num w:numId="25" w16cid:durableId="1673068681">
    <w:abstractNumId w:val="23"/>
  </w:num>
  <w:num w:numId="26" w16cid:durableId="22370932">
    <w:abstractNumId w:val="14"/>
  </w:num>
  <w:num w:numId="27" w16cid:durableId="705106007">
    <w:abstractNumId w:val="5"/>
  </w:num>
  <w:num w:numId="28" w16cid:durableId="1900748539">
    <w:abstractNumId w:val="24"/>
  </w:num>
  <w:num w:numId="29" w16cid:durableId="1611162241">
    <w:abstractNumId w:val="1"/>
  </w:num>
  <w:num w:numId="30" w16cid:durableId="553540423">
    <w:abstractNumId w:val="25"/>
  </w:num>
  <w:num w:numId="31" w16cid:durableId="1477995226">
    <w:abstractNumId w:val="30"/>
  </w:num>
  <w:num w:numId="32" w16cid:durableId="1358695962">
    <w:abstractNumId w:val="12"/>
  </w:num>
  <w:num w:numId="33" w16cid:durableId="712773899">
    <w:abstractNumId w:val="18"/>
  </w:num>
  <w:num w:numId="34" w16cid:durableId="1237786687">
    <w:abstractNumId w:val="3"/>
  </w:num>
  <w:num w:numId="35" w16cid:durableId="1450930087">
    <w:abstractNumId w:val="36"/>
  </w:num>
  <w:num w:numId="36" w16cid:durableId="1178036897">
    <w:abstractNumId w:val="10"/>
  </w:num>
  <w:num w:numId="37" w16cid:durableId="908228326">
    <w:abstractNumId w:val="11"/>
  </w:num>
  <w:num w:numId="38" w16cid:durableId="437912555">
    <w:abstractNumId w:val="37"/>
  </w:num>
  <w:num w:numId="39" w16cid:durableId="195162349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8D1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3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1D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13C"/>
    <w:rsid w:val="0044514F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EEF"/>
    <w:rsid w:val="00506F4B"/>
    <w:rsid w:val="00506FB8"/>
    <w:rsid w:val="00506FB9"/>
    <w:rsid w:val="00506FED"/>
    <w:rsid w:val="00507021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B0"/>
    <w:rsid w:val="0063631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0F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A5"/>
    <w:rsid w:val="007715F4"/>
    <w:rsid w:val="007716F1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0F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99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58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in-juriscol.gov.co/viewDocument.asp?id=18271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in-juriscol.gov.co/viewDocument.asp?id=159825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8B1BB3-D26C-45F5-B9E6-7D4591FF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3369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2023-12-09T21:35:00Z</dcterms:created>
  <dcterms:modified xsi:type="dcterms:W3CDTF">2023-12-09T21:35:00Z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