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1D48" w14:textId="5542E7EF" w:rsidR="00123ABA" w:rsidRPr="00123ABA" w:rsidRDefault="00123ABA" w:rsidP="00123AB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D7302D">
        <w:rPr>
          <w:position w:val="-8"/>
          <w:sz w:val="122"/>
        </w:rPr>
        <w:t>N</w:t>
      </w:r>
    </w:p>
    <w:p w14:paraId="2183A568" w14:textId="34C03FFB" w:rsidR="00D7302D" w:rsidRPr="00D7302D" w:rsidRDefault="00D7302D" w:rsidP="00D7302D">
      <w:r w:rsidRPr="00D7302D">
        <w:rPr>
          <w:b/>
          <w:bCs/>
        </w:rPr>
        <w:t>ecesidad de Dos Libros de Código de Ética Internacional para Contadores Profesionales: Una Propuesta para Unificar Conocimientos y fortalecer la práctica profesional (Entrega 1)</w:t>
      </w:r>
      <w:r>
        <w:rPr>
          <w:b/>
          <w:bCs/>
        </w:rPr>
        <w:t xml:space="preserve"> </w:t>
      </w:r>
      <w:r w:rsidRPr="00D7302D">
        <w:rPr>
          <w:b/>
          <w:bCs/>
        </w:rPr>
        <w:t xml:space="preserve">Introducción: </w:t>
      </w:r>
      <w:r w:rsidRPr="00D7302D">
        <w:t xml:space="preserve">La ética profesional en la práctica de los contadores públicos es un pilar inquebrantable que sostiene la integridad y confiabilidad de la profesión contable a nivel global. Sin embargo, existen desafíos significativos debido a las diferencias y deficiencias observadas entre las versiones y traducciones del Código de Ética emitido por el </w:t>
      </w:r>
      <w:r w:rsidRPr="00D7302D">
        <w:rPr>
          <w:i/>
          <w:iCs/>
        </w:rPr>
        <w:t xml:space="preserve">International </w:t>
      </w:r>
      <w:proofErr w:type="spellStart"/>
      <w:r w:rsidRPr="00D7302D">
        <w:rPr>
          <w:i/>
          <w:iCs/>
        </w:rPr>
        <w:t>Ethics</w:t>
      </w:r>
      <w:proofErr w:type="spellEnd"/>
      <w:r w:rsidRPr="00D7302D">
        <w:rPr>
          <w:i/>
          <w:iCs/>
        </w:rPr>
        <w:t xml:space="preserve"> </w:t>
      </w:r>
      <w:proofErr w:type="spellStart"/>
      <w:r w:rsidRPr="00D7302D">
        <w:rPr>
          <w:i/>
          <w:iCs/>
        </w:rPr>
        <w:t>Standards</w:t>
      </w:r>
      <w:proofErr w:type="spellEnd"/>
      <w:r w:rsidRPr="00D7302D">
        <w:rPr>
          <w:i/>
          <w:iCs/>
        </w:rPr>
        <w:t xml:space="preserve"> </w:t>
      </w:r>
      <w:proofErr w:type="spellStart"/>
      <w:r w:rsidRPr="00D7302D">
        <w:rPr>
          <w:i/>
          <w:iCs/>
        </w:rPr>
        <w:t>Board</w:t>
      </w:r>
      <w:proofErr w:type="spellEnd"/>
      <w:r w:rsidRPr="00D7302D">
        <w:rPr>
          <w:i/>
          <w:iCs/>
        </w:rPr>
        <w:t xml:space="preserve"> </w:t>
      </w:r>
      <w:proofErr w:type="spellStart"/>
      <w:r w:rsidRPr="00D7302D">
        <w:rPr>
          <w:i/>
          <w:iCs/>
        </w:rPr>
        <w:t>for</w:t>
      </w:r>
      <w:proofErr w:type="spellEnd"/>
      <w:r w:rsidRPr="00D7302D">
        <w:rPr>
          <w:i/>
          <w:iCs/>
        </w:rPr>
        <w:t xml:space="preserve"> </w:t>
      </w:r>
      <w:proofErr w:type="spellStart"/>
      <w:r w:rsidRPr="00D7302D">
        <w:rPr>
          <w:i/>
          <w:iCs/>
        </w:rPr>
        <w:t>Accountants</w:t>
      </w:r>
      <w:proofErr w:type="spellEnd"/>
      <w:r w:rsidRPr="00D7302D">
        <w:t xml:space="preserve"> (IESBA). Este artículo destaca la urgente necesidad de expedir dos libros de normativas para contadores profesionales, abordando las lagunas existentes y garantizando una aplicación coherente y actualizada, además plantea algunas reflexiones sobre la aplicación de estas normas en Colombia.</w:t>
      </w:r>
      <w:r>
        <w:t xml:space="preserve"> </w:t>
      </w:r>
      <w:r w:rsidR="001A0B11" w:rsidRPr="001A0B11">
        <w:rPr>
          <w:b/>
          <w:bCs/>
        </w:rPr>
        <w:t>A.</w:t>
      </w:r>
      <w:r w:rsidR="001A0B11">
        <w:t xml:space="preserve"> </w:t>
      </w:r>
      <w:r w:rsidRPr="00D7302D">
        <w:rPr>
          <w:b/>
          <w:bCs/>
        </w:rPr>
        <w:t>Cambios significativos del código realizados entre los años 2021 y 2023. Un análisis detallado</w:t>
      </w:r>
      <w:r w:rsidR="001A0B11">
        <w:rPr>
          <w:b/>
          <w:bCs/>
        </w:rPr>
        <w:t xml:space="preserve"> </w:t>
      </w:r>
      <w:r w:rsidRPr="00D7302D">
        <w:t>Para comprender a fondo las discrepancias y actualizaciones entre las ediciones del Código de Ética emitido por el IESBA, se deben examinar los cambios más recientes que impactan directamente la práctica profesional. A continuación, se detallan los cambios clave con enlaces directos para su consulta:</w:t>
      </w:r>
      <w:r w:rsidR="001A0B11">
        <w:t xml:space="preserve"> </w:t>
      </w:r>
      <w:r w:rsidRPr="00D7302D">
        <w:rPr>
          <w:b/>
          <w:bCs/>
        </w:rPr>
        <w:t>1. Revisiones del código relacionados con los Honorarios</w:t>
      </w:r>
      <w:r w:rsidR="001A0B11">
        <w:rPr>
          <w:b/>
          <w:bCs/>
        </w:rPr>
        <w:t xml:space="preserve"> </w:t>
      </w:r>
      <w:r w:rsidRPr="00D7302D">
        <w:rPr>
          <w:b/>
          <w:bCs/>
        </w:rPr>
        <w:t xml:space="preserve">Fecha de Aplicación: </w:t>
      </w:r>
      <w:r w:rsidRPr="00D7302D">
        <w:t>15 de diciembre de 2022</w:t>
      </w:r>
      <w:r w:rsidR="001A0B11">
        <w:t xml:space="preserve"> </w:t>
      </w:r>
      <w:r w:rsidRPr="00D7302D">
        <w:rPr>
          <w:b/>
          <w:bCs/>
        </w:rPr>
        <w:t>Descripción:</w:t>
      </w:r>
      <w:r w:rsidRPr="00D7302D">
        <w:t xml:space="preserve"> Estas modificaciones abordan aspectos críticos relacionados con las provisiones sobre honorarios en el código. Disponible en:</w:t>
      </w:r>
      <w:r w:rsidRPr="00D7302D">
        <w:rPr>
          <w:b/>
          <w:bCs/>
        </w:rPr>
        <w:t xml:space="preserve"> </w:t>
      </w:r>
      <w:hyperlink r:id="rId11" w:history="1">
        <w:r w:rsidRPr="00D7302D">
          <w:rPr>
            <w:rStyle w:val="Hipervnculo"/>
            <w:b/>
            <w:bCs/>
          </w:rPr>
          <w:t>https://www.ethicsboard.org/publications/final-pronouncement-revisions-fee-related-</w:t>
        </w:r>
        <w:r w:rsidRPr="00D7302D">
          <w:rPr>
            <w:rStyle w:val="Hipervnculo"/>
            <w:b/>
            <w:bCs/>
          </w:rPr>
          <w:t>provisions-code</w:t>
        </w:r>
      </w:hyperlink>
      <w:r w:rsidR="001A0B11">
        <w:t xml:space="preserve"> </w:t>
      </w:r>
      <w:r w:rsidRPr="00D7302D">
        <w:rPr>
          <w:i/>
          <w:iCs/>
        </w:rPr>
        <w:t>(Nota: Esta revisión no se incorpora en la última traducción oficial al español del año 2021, ni en el DUR 2420 de 2015,</w:t>
      </w:r>
      <w:r w:rsidR="00476E7C">
        <w:rPr>
          <w:i/>
          <w:iCs/>
        </w:rPr>
        <w:t xml:space="preserve"> pero</w:t>
      </w:r>
      <w:r w:rsidRPr="00D7302D">
        <w:rPr>
          <w:i/>
          <w:iCs/>
        </w:rPr>
        <w:t xml:space="preserve"> sí está incorporada en la versión en inglés del año 2023.)</w:t>
      </w:r>
      <w:r w:rsidR="001A0B11">
        <w:rPr>
          <w:i/>
          <w:iCs/>
        </w:rPr>
        <w:t xml:space="preserve"> </w:t>
      </w:r>
      <w:r w:rsidRPr="00D7302D">
        <w:rPr>
          <w:b/>
          <w:bCs/>
        </w:rPr>
        <w:t>2. Revisiones del Código Relacionados con los Servicios que No son de Aseguramiento</w:t>
      </w:r>
      <w:r w:rsidR="001A0B11">
        <w:rPr>
          <w:b/>
          <w:bCs/>
        </w:rPr>
        <w:t xml:space="preserve"> </w:t>
      </w:r>
      <w:r w:rsidRPr="00D7302D">
        <w:rPr>
          <w:b/>
          <w:bCs/>
        </w:rPr>
        <w:t>Fecha de Aplicación:</w:t>
      </w:r>
      <w:r w:rsidRPr="00D7302D">
        <w:t xml:space="preserve"> 15 de diciembre de 2022</w:t>
      </w:r>
      <w:r w:rsidR="001A0B11">
        <w:t xml:space="preserve"> </w:t>
      </w:r>
      <w:r w:rsidRPr="00D7302D">
        <w:rPr>
          <w:b/>
          <w:bCs/>
        </w:rPr>
        <w:t>Descripción:</w:t>
      </w:r>
      <w:r w:rsidRPr="00D7302D">
        <w:t xml:space="preserve"> Estas enmiendas tratan disposiciones que rigen los servicios distintos de aseguramiento, ajustando las regulaciones para garantizar la integridad y transparencia en estos servicios. Disponible en:</w:t>
      </w:r>
      <w:r w:rsidRPr="00D7302D">
        <w:rPr>
          <w:b/>
          <w:bCs/>
        </w:rPr>
        <w:t xml:space="preserve"> </w:t>
      </w:r>
      <w:hyperlink r:id="rId12" w:history="1">
        <w:r w:rsidR="001A0B11" w:rsidRPr="00D7302D">
          <w:rPr>
            <w:rStyle w:val="Hipervnculo"/>
            <w:b/>
            <w:bCs/>
          </w:rPr>
          <w:t>https://www.ethicsboard.org/publications/final-pronouncement-revisions-non-assurance-service-provisions-code</w:t>
        </w:r>
      </w:hyperlink>
      <w:r w:rsidR="001A0B11">
        <w:t xml:space="preserve"> </w:t>
      </w:r>
      <w:r w:rsidRPr="00D7302D">
        <w:rPr>
          <w:i/>
          <w:iCs/>
        </w:rPr>
        <w:t xml:space="preserve">(Nota: Esta revisión no se incorpora en la última traducción oficial al español del año 2021, ni en el DUR 2420 de 2015, </w:t>
      </w:r>
      <w:r w:rsidR="00476E7C">
        <w:rPr>
          <w:i/>
          <w:iCs/>
        </w:rPr>
        <w:t xml:space="preserve">pero </w:t>
      </w:r>
      <w:r w:rsidRPr="00D7302D">
        <w:rPr>
          <w:i/>
          <w:iCs/>
        </w:rPr>
        <w:t>sí está incorporada en la versión en inglés del año 2023.)</w:t>
      </w:r>
      <w:r w:rsidR="001A0B11">
        <w:rPr>
          <w:i/>
          <w:iCs/>
        </w:rPr>
        <w:t xml:space="preserve"> </w:t>
      </w:r>
      <w:r w:rsidRPr="00D7302D">
        <w:rPr>
          <w:b/>
          <w:bCs/>
        </w:rPr>
        <w:t>3. Enmiendas del Código Relacionadas con los Cambios en la Norma de Gestión de Calidad Fecha de Aplicación:</w:t>
      </w:r>
      <w:r w:rsidRPr="00D7302D">
        <w:t xml:space="preserve"> 15 de diciembre de 2022</w:t>
      </w:r>
      <w:r w:rsidR="00123ABA">
        <w:t xml:space="preserve"> </w:t>
      </w:r>
      <w:r w:rsidRPr="00D7302D">
        <w:rPr>
          <w:b/>
          <w:bCs/>
        </w:rPr>
        <w:t>Descripción:</w:t>
      </w:r>
      <w:r w:rsidRPr="00D7302D">
        <w:t xml:space="preserve"> Estas enmiendas se centran en ajustes específicos relacionados con la gestión de calidad, fortaleciendo las prácticas de auditoría y conformidades con otras normas. Disponible en:</w:t>
      </w:r>
      <w:r w:rsidRPr="00D7302D">
        <w:rPr>
          <w:b/>
          <w:bCs/>
        </w:rPr>
        <w:t xml:space="preserve"> </w:t>
      </w:r>
      <w:hyperlink r:id="rId13" w:history="1">
        <w:r w:rsidRPr="00D7302D">
          <w:rPr>
            <w:rStyle w:val="Hipervnculo"/>
            <w:b/>
            <w:bCs/>
          </w:rPr>
          <w:t>https://www.ethicsboard.org/publications/final-pronouncement-quality-management-related-conforming-amendments-code</w:t>
        </w:r>
      </w:hyperlink>
      <w:r w:rsidR="00123ABA">
        <w:t xml:space="preserve"> </w:t>
      </w:r>
      <w:r w:rsidRPr="00D7302D">
        <w:rPr>
          <w:i/>
          <w:iCs/>
        </w:rPr>
        <w:t xml:space="preserve">(Nota: Esta revisión no se incorpora en la última traducción oficial al español del año 2021, ni en el DUR 2420 de 2015, </w:t>
      </w:r>
      <w:r w:rsidR="00476E7C">
        <w:rPr>
          <w:i/>
          <w:iCs/>
        </w:rPr>
        <w:t xml:space="preserve">pero </w:t>
      </w:r>
      <w:r w:rsidRPr="00D7302D">
        <w:rPr>
          <w:i/>
          <w:iCs/>
        </w:rPr>
        <w:t>sí está incorporada en la versión en inglés del año 2023.)</w:t>
      </w:r>
      <w:r w:rsidRPr="00D7302D">
        <w:t>(…) Contin</w:t>
      </w:r>
      <w:r w:rsidR="00476E7C">
        <w:t>ú</w:t>
      </w:r>
      <w:r w:rsidRPr="00D7302D">
        <w:t>a</w:t>
      </w:r>
    </w:p>
    <w:p w14:paraId="626594A5" w14:textId="43F0660E" w:rsidR="000F528D" w:rsidRPr="00245E27" w:rsidRDefault="00D7302D" w:rsidP="00123ABA">
      <w:pPr>
        <w:jc w:val="right"/>
      </w:pPr>
      <w:r w:rsidRPr="00D7302D">
        <w:rPr>
          <w:i/>
          <w:iCs/>
        </w:rPr>
        <w:t xml:space="preserve">Wilmar Franco </w:t>
      </w:r>
      <w:proofErr w:type="spellStart"/>
      <w:r w:rsidRPr="00D7302D">
        <w:rPr>
          <w:i/>
          <w:iCs/>
        </w:rPr>
        <w:t>Franco</w:t>
      </w:r>
      <w:proofErr w:type="spellEnd"/>
    </w:p>
    <w:sectPr w:rsidR="000F528D" w:rsidRPr="00245E27" w:rsidSect="00E730BF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EABD" w14:textId="77777777" w:rsidR="00E730BF" w:rsidRDefault="00E730BF" w:rsidP="00EE7812">
      <w:pPr>
        <w:spacing w:after="0" w:line="240" w:lineRule="auto"/>
      </w:pPr>
      <w:r>
        <w:separator/>
      </w:r>
    </w:p>
  </w:endnote>
  <w:endnote w:type="continuationSeparator" w:id="0">
    <w:p w14:paraId="74361349" w14:textId="77777777" w:rsidR="00E730BF" w:rsidRDefault="00E730B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8EEB" w14:textId="77777777" w:rsidR="00E730BF" w:rsidRDefault="00E730BF" w:rsidP="00EE7812">
      <w:pPr>
        <w:spacing w:after="0" w:line="240" w:lineRule="auto"/>
      </w:pPr>
      <w:r>
        <w:separator/>
      </w:r>
    </w:p>
  </w:footnote>
  <w:footnote w:type="continuationSeparator" w:id="0">
    <w:p w14:paraId="3EFC560B" w14:textId="77777777" w:rsidR="00E730BF" w:rsidRDefault="00E730B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414E186F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D33D0F">
      <w:t>80</w:t>
    </w:r>
    <w:r w:rsidR="00A6249F">
      <w:t>8</w:t>
    </w:r>
    <w:r w:rsidR="00117043">
      <w:t>,</w:t>
    </w:r>
    <w:r w:rsidR="007F1F4E">
      <w:t xml:space="preserve"> </w:t>
    </w:r>
    <w:r w:rsidR="00BE368B">
      <w:t>1</w:t>
    </w:r>
    <w:r w:rsidR="00B82D2B">
      <w:t>5</w:t>
    </w:r>
    <w:r w:rsidR="001E23A5">
      <w:t xml:space="preserve"> </w:t>
    </w:r>
    <w:r w:rsidR="009365CF">
      <w:t>de</w:t>
    </w:r>
    <w:r w:rsidR="001E23A5">
      <w:t xml:space="preserve"> </w:t>
    </w:r>
    <w:r w:rsidR="00B82D2B">
      <w:t>enero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370167">
    <w:abstractNumId w:val="0"/>
  </w:num>
  <w:num w:numId="2" w16cid:durableId="1833452637">
    <w:abstractNumId w:val="21"/>
  </w:num>
  <w:num w:numId="3" w16cid:durableId="1780055617">
    <w:abstractNumId w:val="15"/>
  </w:num>
  <w:num w:numId="4" w16cid:durableId="1038167486">
    <w:abstractNumId w:val="2"/>
  </w:num>
  <w:num w:numId="5" w16cid:durableId="1590851431">
    <w:abstractNumId w:val="20"/>
  </w:num>
  <w:num w:numId="6" w16cid:durableId="734548096">
    <w:abstractNumId w:val="36"/>
  </w:num>
  <w:num w:numId="7" w16cid:durableId="1686204021">
    <w:abstractNumId w:val="13"/>
  </w:num>
  <w:num w:numId="8" w16cid:durableId="1644043669">
    <w:abstractNumId w:val="34"/>
  </w:num>
  <w:num w:numId="9" w16cid:durableId="618879953">
    <w:abstractNumId w:val="39"/>
  </w:num>
  <w:num w:numId="10" w16cid:durableId="811294396">
    <w:abstractNumId w:val="4"/>
  </w:num>
  <w:num w:numId="11" w16cid:durableId="556890600">
    <w:abstractNumId w:val="6"/>
  </w:num>
  <w:num w:numId="12" w16cid:durableId="1223053906">
    <w:abstractNumId w:val="19"/>
  </w:num>
  <w:num w:numId="13" w16cid:durableId="539825125">
    <w:abstractNumId w:val="22"/>
  </w:num>
  <w:num w:numId="14" w16cid:durableId="29185962">
    <w:abstractNumId w:val="32"/>
  </w:num>
  <w:num w:numId="15" w16cid:durableId="1301350004">
    <w:abstractNumId w:val="9"/>
  </w:num>
  <w:num w:numId="16" w16cid:durableId="2010406699">
    <w:abstractNumId w:val="7"/>
  </w:num>
  <w:num w:numId="17" w16cid:durableId="505443766">
    <w:abstractNumId w:val="17"/>
  </w:num>
  <w:num w:numId="18" w16cid:durableId="287325753">
    <w:abstractNumId w:val="31"/>
  </w:num>
  <w:num w:numId="19" w16cid:durableId="2075010316">
    <w:abstractNumId w:val="26"/>
  </w:num>
  <w:num w:numId="20" w16cid:durableId="1704163589">
    <w:abstractNumId w:val="8"/>
  </w:num>
  <w:num w:numId="21" w16cid:durableId="878470580">
    <w:abstractNumId w:val="27"/>
  </w:num>
  <w:num w:numId="22" w16cid:durableId="713383189">
    <w:abstractNumId w:val="28"/>
  </w:num>
  <w:num w:numId="23" w16cid:durableId="1377657891">
    <w:abstractNumId w:val="29"/>
  </w:num>
  <w:num w:numId="24" w16cid:durableId="1943024213">
    <w:abstractNumId w:val="35"/>
  </w:num>
  <w:num w:numId="25" w16cid:durableId="1078864352">
    <w:abstractNumId w:val="23"/>
  </w:num>
  <w:num w:numId="26" w16cid:durableId="2008288291">
    <w:abstractNumId w:val="14"/>
  </w:num>
  <w:num w:numId="27" w16cid:durableId="823010579">
    <w:abstractNumId w:val="5"/>
  </w:num>
  <w:num w:numId="28" w16cid:durableId="62147741">
    <w:abstractNumId w:val="24"/>
  </w:num>
  <w:num w:numId="29" w16cid:durableId="204410873">
    <w:abstractNumId w:val="1"/>
  </w:num>
  <w:num w:numId="30" w16cid:durableId="1383823528">
    <w:abstractNumId w:val="25"/>
  </w:num>
  <w:num w:numId="31" w16cid:durableId="1593395571">
    <w:abstractNumId w:val="30"/>
  </w:num>
  <w:num w:numId="32" w16cid:durableId="1646816702">
    <w:abstractNumId w:val="12"/>
  </w:num>
  <w:num w:numId="33" w16cid:durableId="1345328889">
    <w:abstractNumId w:val="18"/>
  </w:num>
  <w:num w:numId="34" w16cid:durableId="635599495">
    <w:abstractNumId w:val="3"/>
  </w:num>
  <w:num w:numId="35" w16cid:durableId="453982542">
    <w:abstractNumId w:val="37"/>
  </w:num>
  <w:num w:numId="36" w16cid:durableId="703558559">
    <w:abstractNumId w:val="10"/>
  </w:num>
  <w:num w:numId="37" w16cid:durableId="1148134621">
    <w:abstractNumId w:val="11"/>
  </w:num>
  <w:num w:numId="38" w16cid:durableId="228851764">
    <w:abstractNumId w:val="38"/>
  </w:num>
  <w:num w:numId="39" w16cid:durableId="686100088">
    <w:abstractNumId w:val="16"/>
  </w:num>
  <w:num w:numId="40" w16cid:durableId="969020415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1B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5F"/>
    <w:rsid w:val="00506ECE"/>
    <w:rsid w:val="00506EEF"/>
    <w:rsid w:val="00506F4B"/>
    <w:rsid w:val="00506FB8"/>
    <w:rsid w:val="00506FB9"/>
    <w:rsid w:val="00506FED"/>
    <w:rsid w:val="00507021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B0"/>
    <w:rsid w:val="0063631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0F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A5"/>
    <w:rsid w:val="007715F4"/>
    <w:rsid w:val="007716F1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70F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F1"/>
    <w:rsid w:val="00CE634D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BF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D3"/>
    <w:rsid w:val="00EF170D"/>
    <w:rsid w:val="00EF1762"/>
    <w:rsid w:val="00EF1763"/>
    <w:rsid w:val="00EF17FF"/>
    <w:rsid w:val="00EF1848"/>
    <w:rsid w:val="00EF18AB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CBA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thicsboard.org/publications/final-pronouncement-quality-management-related-conforming-amendments-co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thicsboard.org/publications/final-pronouncement-revisions-non-assurance-service-provisions-co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thicsboard.org/publications/final-pronouncement-revisions-fee-related-provisions-co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F1F62E-E2F4-4B5C-8C36-2D764A6974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3456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2024-01-14T17:22:00Z</dcterms:created>
  <dcterms:modified xsi:type="dcterms:W3CDTF">2024-01-14T17:22:00Z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