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C833" w14:textId="485AAF6B" w:rsidR="00541259" w:rsidRPr="00541259" w:rsidRDefault="00541259" w:rsidP="00541259">
      <w:pPr>
        <w:keepNext/>
        <w:framePr w:dropCap="drop" w:lines="3" w:wrap="around" w:vAnchor="text" w:hAnchor="text"/>
        <w:spacing w:after="0" w:line="926" w:lineRule="exact"/>
        <w:textAlignment w:val="baseline"/>
        <w:rPr>
          <w:b/>
          <w:bCs/>
          <w:position w:val="-8"/>
          <w:sz w:val="122"/>
        </w:rPr>
      </w:pPr>
      <w:r w:rsidRPr="00D47756">
        <w:rPr>
          <w:b/>
          <w:bCs/>
          <w:position w:val="-8"/>
          <w:sz w:val="122"/>
        </w:rPr>
        <w:t>N</w:t>
      </w:r>
    </w:p>
    <w:p w14:paraId="63FB39C9" w14:textId="157DF44C" w:rsidR="00D47756" w:rsidRPr="00D47756" w:rsidRDefault="00D47756" w:rsidP="00D47756">
      <w:pPr>
        <w:rPr>
          <w:b/>
          <w:bCs/>
        </w:rPr>
      </w:pPr>
      <w:r w:rsidRPr="00D47756">
        <w:rPr>
          <w:b/>
          <w:bCs/>
        </w:rPr>
        <w:t>ecesidad de Dos Libros de Código de Ética Internacional para Contadores Profesionales: Una Propuesta para Unificar Conocimientos y fortalecer la práctica profesional (Entrega 2)</w:t>
      </w:r>
      <w:r w:rsidR="00541259">
        <w:rPr>
          <w:b/>
          <w:bCs/>
        </w:rPr>
        <w:t xml:space="preserve"> </w:t>
      </w:r>
      <w:r w:rsidRPr="00D47756">
        <w:rPr>
          <w:b/>
          <w:bCs/>
        </w:rPr>
        <w:t>4. Enmiendas Relacionadas con la Definición de Entidad Cotizada en Bolsa y Entidades de Interés Público</w:t>
      </w:r>
      <w:r w:rsidR="00D32845">
        <w:rPr>
          <w:b/>
          <w:bCs/>
        </w:rPr>
        <w:t xml:space="preserve"> </w:t>
      </w:r>
      <w:r w:rsidRPr="00D47756">
        <w:rPr>
          <w:b/>
          <w:bCs/>
        </w:rPr>
        <w:t xml:space="preserve">Fecha de Aplicación: </w:t>
      </w:r>
      <w:r w:rsidRPr="00D47756">
        <w:t>15 de diciembre de 2024</w:t>
      </w:r>
      <w:r w:rsidR="00D32845">
        <w:t xml:space="preserve"> </w:t>
      </w:r>
      <w:r w:rsidRPr="00D47756">
        <w:rPr>
          <w:b/>
          <w:bCs/>
        </w:rPr>
        <w:t>Descripción:</w:t>
      </w:r>
      <w:r w:rsidRPr="00D47756">
        <w:t xml:space="preserve"> Estos cambios, programados para entrar en vigor en 2024, buscan ajustar las definiciones clave para alinearse con las prácticas y necesidades actuales. Disponible en:</w:t>
      </w:r>
      <w:r w:rsidRPr="00D47756">
        <w:rPr>
          <w:b/>
          <w:bCs/>
        </w:rPr>
        <w:t xml:space="preserve"> </w:t>
      </w:r>
      <w:hyperlink r:id="rId11" w:history="1">
        <w:r w:rsidRPr="00D47756">
          <w:rPr>
            <w:rStyle w:val="Hipervnculo"/>
            <w:b/>
            <w:bCs/>
          </w:rPr>
          <w:t>https://www.ethicsboard.org/publications/final-pronouncement-revisions-definitions-listed-entity-and-public-interest-entity-code</w:t>
        </w:r>
      </w:hyperlink>
      <w:r w:rsidR="00D32845">
        <w:t xml:space="preserve"> </w:t>
      </w:r>
      <w:r w:rsidRPr="00D47756">
        <w:rPr>
          <w:i/>
          <w:iCs/>
        </w:rPr>
        <w:t>(Nota: Esta revisión no se incorpora en la última traducción oficial al español del año 2021, ni en el DUR 2420 de 2015, tampoco se ha incorporado en la versión en inglés del año 2023.)</w:t>
      </w:r>
      <w:r w:rsidR="00DE384D">
        <w:rPr>
          <w:i/>
          <w:iCs/>
        </w:rPr>
        <w:t xml:space="preserve"> </w:t>
      </w:r>
      <w:r w:rsidRPr="00D47756">
        <w:rPr>
          <w:b/>
          <w:bCs/>
        </w:rPr>
        <w:t>5. Revisiones Relacionadas con la Definición de Equipos de Auditoría y Auditoría de Grupos</w:t>
      </w:r>
      <w:r w:rsidR="00DE384D">
        <w:rPr>
          <w:b/>
          <w:bCs/>
        </w:rPr>
        <w:t xml:space="preserve"> </w:t>
      </w:r>
      <w:r w:rsidRPr="00D47756">
        <w:rPr>
          <w:b/>
          <w:bCs/>
        </w:rPr>
        <w:t>Fecha de Aplicación:</w:t>
      </w:r>
      <w:r w:rsidRPr="00D47756">
        <w:t xml:space="preserve"> 15 de diciembre de 2023</w:t>
      </w:r>
      <w:r w:rsidR="00DE384D">
        <w:t xml:space="preserve"> </w:t>
      </w:r>
      <w:r w:rsidRPr="00D47756">
        <w:rPr>
          <w:b/>
          <w:bCs/>
        </w:rPr>
        <w:t>Descripción:</w:t>
      </w:r>
      <w:r w:rsidRPr="00D47756">
        <w:t xml:space="preserve"> Estas enmiendas afectan las definiciones y prácticas relacionadas con la auditoría de grupos y la estructuración de equipos de auditoría. Disponible en: </w:t>
      </w:r>
      <w:hyperlink r:id="rId12" w:history="1">
        <w:r w:rsidRPr="00D47756">
          <w:rPr>
            <w:rStyle w:val="Hipervnculo"/>
            <w:b/>
            <w:bCs/>
          </w:rPr>
          <w:t>https://www.ethicsboard.org/publications/final-pronouncement-revisions-code-relating-definition-engagement-team-and-group-audits</w:t>
        </w:r>
      </w:hyperlink>
      <w:r w:rsidR="00DE384D">
        <w:t xml:space="preserve"> </w:t>
      </w:r>
      <w:r w:rsidRPr="00D47756">
        <w:rPr>
          <w:i/>
          <w:iCs/>
        </w:rPr>
        <w:t xml:space="preserve">(Nota: Esta revisión no se incorpora en la última traducción oficial al español del año 2021, ni en el DUR 2420 de 2015, </w:t>
      </w:r>
      <w:r w:rsidR="00DE384D">
        <w:rPr>
          <w:i/>
          <w:iCs/>
        </w:rPr>
        <w:t xml:space="preserve">pero </w:t>
      </w:r>
      <w:r w:rsidRPr="00D47756">
        <w:rPr>
          <w:i/>
          <w:iCs/>
        </w:rPr>
        <w:t>si está incorporada en la versión en inglés del año 2023.)</w:t>
      </w:r>
      <w:r w:rsidR="00DE384D">
        <w:rPr>
          <w:i/>
          <w:iCs/>
        </w:rPr>
        <w:t xml:space="preserve"> </w:t>
      </w:r>
      <w:r w:rsidRPr="00D47756">
        <w:rPr>
          <w:b/>
          <w:bCs/>
        </w:rPr>
        <w:t>6. Revisiones del Código Relacionadas con la Tecnología</w:t>
      </w:r>
      <w:r w:rsidR="00DE384D">
        <w:rPr>
          <w:b/>
          <w:bCs/>
        </w:rPr>
        <w:t xml:space="preserve"> </w:t>
      </w:r>
      <w:r w:rsidRPr="00D47756">
        <w:rPr>
          <w:b/>
          <w:bCs/>
        </w:rPr>
        <w:t>Fecha de Aplicación:</w:t>
      </w:r>
      <w:r w:rsidRPr="00D47756">
        <w:t xml:space="preserve"> 15 de diciembre de 2024</w:t>
      </w:r>
      <w:r w:rsidR="00DE384D">
        <w:t xml:space="preserve"> </w:t>
      </w:r>
      <w:r w:rsidRPr="00D47756">
        <w:rPr>
          <w:b/>
          <w:bCs/>
        </w:rPr>
        <w:t>Descripción:</w:t>
      </w:r>
      <w:r w:rsidRPr="00D47756">
        <w:t xml:space="preserve"> Estas modificaciones, programadas para 2024, abordan temas </w:t>
      </w:r>
      <w:r w:rsidRPr="00D47756">
        <w:t>críticos relacionados con la incorporación y gestión de tecnologías emergentes en la práctica contable. Disponible en:</w:t>
      </w:r>
      <w:r w:rsidRPr="00D47756">
        <w:rPr>
          <w:b/>
          <w:bCs/>
        </w:rPr>
        <w:t xml:space="preserve"> </w:t>
      </w:r>
      <w:hyperlink r:id="rId13" w:history="1">
        <w:r w:rsidRPr="00D47756">
          <w:rPr>
            <w:rStyle w:val="Hipervnculo"/>
            <w:b/>
            <w:bCs/>
          </w:rPr>
          <w:t>https://www.ethicsboard.org/publications/final-pronouncement-technology-related-revisions-code</w:t>
        </w:r>
      </w:hyperlink>
      <w:r w:rsidR="00DE384D">
        <w:t xml:space="preserve"> </w:t>
      </w:r>
      <w:r w:rsidRPr="00D47756">
        <w:rPr>
          <w:i/>
          <w:iCs/>
        </w:rPr>
        <w:t>(Nota: Esta revisión no se incorpora en la última traducción oficial al español del año 2021, ni en el DUR 2420 de 2015, tampoco se ha incorporado en la versión en inglés del año 2023.)</w:t>
      </w:r>
      <w:r w:rsidR="00BB1064">
        <w:rPr>
          <w:i/>
          <w:iCs/>
        </w:rPr>
        <w:t xml:space="preserve"> </w:t>
      </w:r>
      <w:r w:rsidRPr="00D47756">
        <w:rPr>
          <w:b/>
          <w:bCs/>
        </w:rPr>
        <w:t>7. Modificaciones del código de ética relacionados con la planificación fiscal y otros servicios relacionados</w:t>
      </w:r>
      <w:r w:rsidR="00BB1064">
        <w:rPr>
          <w:b/>
          <w:bCs/>
        </w:rPr>
        <w:t xml:space="preserve"> </w:t>
      </w:r>
      <w:r w:rsidRPr="00D47756">
        <w:rPr>
          <w:b/>
          <w:bCs/>
        </w:rPr>
        <w:t>Fecha de aplicación:</w:t>
      </w:r>
      <w:r w:rsidRPr="00D47756">
        <w:t xml:space="preserve"> A finales de </w:t>
      </w:r>
      <w:proofErr w:type="gramStart"/>
      <w:r w:rsidRPr="00D47756">
        <w:t>Diciembre</w:t>
      </w:r>
      <w:proofErr w:type="gramEnd"/>
      <w:r w:rsidRPr="00D47756">
        <w:t xml:space="preserve"> de 2023, el IESBA anunció que las modificaciones finales del código relacionadas con los servicios de planificación fiscal y otros servicios relacionados serán expedidas en abril de 2024, aun no se ha establecido una fecha para su aplicación.</w:t>
      </w:r>
      <w:r w:rsidR="00BB1064">
        <w:t xml:space="preserve"> </w:t>
      </w:r>
      <w:r w:rsidRPr="00D47756">
        <w:rPr>
          <w:b/>
          <w:bCs/>
        </w:rPr>
        <w:t xml:space="preserve">Descripción: </w:t>
      </w:r>
      <w:r w:rsidRPr="00D47756">
        <w:t xml:space="preserve">En este proyecto se abordan cambios importantes en el código para incluir asuntos relacionados con los servicios de planeación de impuestos y servicios relacionados. Disponible en: </w:t>
      </w:r>
      <w:hyperlink r:id="rId14" w:history="1">
        <w:r w:rsidRPr="00D47756">
          <w:rPr>
            <w:rStyle w:val="Hipervnculo"/>
            <w:b/>
            <w:bCs/>
          </w:rPr>
          <w:t>https://www.ethicsboard.org/consultations-projects/tax-planning-and-related-services</w:t>
        </w:r>
      </w:hyperlink>
      <w:r w:rsidR="00BB1064">
        <w:t xml:space="preserve"> </w:t>
      </w:r>
      <w:r w:rsidRPr="00D47756">
        <w:rPr>
          <w:b/>
          <w:bCs/>
        </w:rPr>
        <w:t>8. Borrador de revisiones del código de ética relacionados con el uso del trabajo de expertos externos</w:t>
      </w:r>
      <w:r w:rsidR="00BB1064">
        <w:rPr>
          <w:b/>
          <w:bCs/>
        </w:rPr>
        <w:t xml:space="preserve"> </w:t>
      </w:r>
      <w:r w:rsidRPr="00D47756">
        <w:rPr>
          <w:b/>
          <w:bCs/>
        </w:rPr>
        <w:t>Fecha de aplicación:</w:t>
      </w:r>
      <w:r w:rsidRPr="00D47756">
        <w:t xml:space="preserve"> A finales de diciembre de 2023, el IESBA anunció la aprobación de las disposiciones éticas propuestas que abordan el uso de expertos externos por parte de las organizaciones, y en el contexto de encargos de auditoría y aseguramiento. </w:t>
      </w:r>
      <w:r w:rsidRPr="00D47756">
        <w:rPr>
          <w:b/>
          <w:bCs/>
        </w:rPr>
        <w:t xml:space="preserve">(…). </w:t>
      </w:r>
      <w:r w:rsidRPr="00D47756">
        <w:t>Contin</w:t>
      </w:r>
      <w:r w:rsidR="00BB1064" w:rsidRPr="00BB1064">
        <w:t>ú</w:t>
      </w:r>
      <w:r w:rsidRPr="00D47756">
        <w:t>a</w:t>
      </w:r>
    </w:p>
    <w:p w14:paraId="626594A5" w14:textId="0649AFD8" w:rsidR="000F528D" w:rsidRPr="00BB1064" w:rsidRDefault="00D47756" w:rsidP="00BB1064">
      <w:pPr>
        <w:jc w:val="right"/>
        <w:rPr>
          <w:i/>
          <w:iCs/>
        </w:rPr>
      </w:pPr>
      <w:r w:rsidRPr="00D47756">
        <w:rPr>
          <w:i/>
          <w:iCs/>
        </w:rPr>
        <w:t xml:space="preserve">Wilmar Franco </w:t>
      </w:r>
      <w:proofErr w:type="spellStart"/>
      <w:r w:rsidRPr="00D47756">
        <w:rPr>
          <w:i/>
          <w:iCs/>
        </w:rPr>
        <w:t>Franco</w:t>
      </w:r>
      <w:proofErr w:type="spellEnd"/>
    </w:p>
    <w:sectPr w:rsidR="000F528D" w:rsidRPr="00BB1064" w:rsidSect="00D71532">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96530" w14:textId="77777777" w:rsidR="00D71532" w:rsidRDefault="00D71532" w:rsidP="00EE7812">
      <w:pPr>
        <w:spacing w:after="0" w:line="240" w:lineRule="auto"/>
      </w:pPr>
      <w:r>
        <w:separator/>
      </w:r>
    </w:p>
  </w:endnote>
  <w:endnote w:type="continuationSeparator" w:id="0">
    <w:p w14:paraId="65F5DD66" w14:textId="77777777" w:rsidR="00D71532" w:rsidRDefault="00D715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9A0C" w14:textId="77777777" w:rsidR="00D71532" w:rsidRDefault="00D71532" w:rsidP="00EE7812">
      <w:pPr>
        <w:spacing w:after="0" w:line="240" w:lineRule="auto"/>
      </w:pPr>
      <w:r>
        <w:separator/>
      </w:r>
    </w:p>
  </w:footnote>
  <w:footnote w:type="continuationSeparator" w:id="0">
    <w:p w14:paraId="433B48A3" w14:textId="77777777" w:rsidR="00D71532" w:rsidRDefault="00D7153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79B50B8B"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80</w:t>
    </w:r>
    <w:r w:rsidR="006912D4">
      <w:t>9</w:t>
    </w:r>
    <w:r w:rsidR="00117043">
      <w:t>,</w:t>
    </w:r>
    <w:r w:rsidR="007F1F4E">
      <w:t xml:space="preserve"> </w:t>
    </w:r>
    <w:r w:rsidR="00BE368B">
      <w:t>1</w:t>
    </w:r>
    <w:r w:rsidR="00B82D2B">
      <w:t>5</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23370167">
    <w:abstractNumId w:val="0"/>
  </w:num>
  <w:num w:numId="2" w16cid:durableId="1833452637">
    <w:abstractNumId w:val="21"/>
  </w:num>
  <w:num w:numId="3" w16cid:durableId="1780055617">
    <w:abstractNumId w:val="15"/>
  </w:num>
  <w:num w:numId="4" w16cid:durableId="1038167486">
    <w:abstractNumId w:val="2"/>
  </w:num>
  <w:num w:numId="5" w16cid:durableId="1590851431">
    <w:abstractNumId w:val="20"/>
  </w:num>
  <w:num w:numId="6" w16cid:durableId="734548096">
    <w:abstractNumId w:val="36"/>
  </w:num>
  <w:num w:numId="7" w16cid:durableId="1686204021">
    <w:abstractNumId w:val="13"/>
  </w:num>
  <w:num w:numId="8" w16cid:durableId="1644043669">
    <w:abstractNumId w:val="34"/>
  </w:num>
  <w:num w:numId="9" w16cid:durableId="618879953">
    <w:abstractNumId w:val="39"/>
  </w:num>
  <w:num w:numId="10" w16cid:durableId="811294396">
    <w:abstractNumId w:val="4"/>
  </w:num>
  <w:num w:numId="11" w16cid:durableId="556890600">
    <w:abstractNumId w:val="6"/>
  </w:num>
  <w:num w:numId="12" w16cid:durableId="1223053906">
    <w:abstractNumId w:val="19"/>
  </w:num>
  <w:num w:numId="13" w16cid:durableId="539825125">
    <w:abstractNumId w:val="22"/>
  </w:num>
  <w:num w:numId="14" w16cid:durableId="29185962">
    <w:abstractNumId w:val="32"/>
  </w:num>
  <w:num w:numId="15" w16cid:durableId="1301350004">
    <w:abstractNumId w:val="9"/>
  </w:num>
  <w:num w:numId="16" w16cid:durableId="2010406699">
    <w:abstractNumId w:val="7"/>
  </w:num>
  <w:num w:numId="17" w16cid:durableId="505443766">
    <w:abstractNumId w:val="17"/>
  </w:num>
  <w:num w:numId="18" w16cid:durableId="287325753">
    <w:abstractNumId w:val="31"/>
  </w:num>
  <w:num w:numId="19" w16cid:durableId="2075010316">
    <w:abstractNumId w:val="26"/>
  </w:num>
  <w:num w:numId="20" w16cid:durableId="1704163589">
    <w:abstractNumId w:val="8"/>
  </w:num>
  <w:num w:numId="21" w16cid:durableId="878470580">
    <w:abstractNumId w:val="27"/>
  </w:num>
  <w:num w:numId="22" w16cid:durableId="713383189">
    <w:abstractNumId w:val="28"/>
  </w:num>
  <w:num w:numId="23" w16cid:durableId="1377657891">
    <w:abstractNumId w:val="29"/>
  </w:num>
  <w:num w:numId="24" w16cid:durableId="1943024213">
    <w:abstractNumId w:val="35"/>
  </w:num>
  <w:num w:numId="25" w16cid:durableId="1078864352">
    <w:abstractNumId w:val="23"/>
  </w:num>
  <w:num w:numId="26" w16cid:durableId="2008288291">
    <w:abstractNumId w:val="14"/>
  </w:num>
  <w:num w:numId="27" w16cid:durableId="823010579">
    <w:abstractNumId w:val="5"/>
  </w:num>
  <w:num w:numId="28" w16cid:durableId="62147741">
    <w:abstractNumId w:val="24"/>
  </w:num>
  <w:num w:numId="29" w16cid:durableId="204410873">
    <w:abstractNumId w:val="1"/>
  </w:num>
  <w:num w:numId="30" w16cid:durableId="1383823528">
    <w:abstractNumId w:val="25"/>
  </w:num>
  <w:num w:numId="31" w16cid:durableId="1593395571">
    <w:abstractNumId w:val="30"/>
  </w:num>
  <w:num w:numId="32" w16cid:durableId="1646816702">
    <w:abstractNumId w:val="12"/>
  </w:num>
  <w:num w:numId="33" w16cid:durableId="1345328889">
    <w:abstractNumId w:val="18"/>
  </w:num>
  <w:num w:numId="34" w16cid:durableId="635599495">
    <w:abstractNumId w:val="3"/>
  </w:num>
  <w:num w:numId="35" w16cid:durableId="453982542">
    <w:abstractNumId w:val="37"/>
  </w:num>
  <w:num w:numId="36" w16cid:durableId="703558559">
    <w:abstractNumId w:val="10"/>
  </w:num>
  <w:num w:numId="37" w16cid:durableId="1148134621">
    <w:abstractNumId w:val="11"/>
  </w:num>
  <w:num w:numId="38" w16cid:durableId="228851764">
    <w:abstractNumId w:val="38"/>
  </w:num>
  <w:num w:numId="39" w16cid:durableId="686100088">
    <w:abstractNumId w:val="16"/>
  </w:num>
  <w:num w:numId="40" w16cid:durableId="96902041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DA"/>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B80"/>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32"/>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hicsboard.org/publications/final-pronouncement-technology-related-revisions-co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hicsboard.org/publications/final-pronouncement-revisions-code-relating-definition-engagement-team-and-group-audi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hicsboard.org/publications/final-pronouncement-revisions-definitions-listed-entity-and-public-interest-entity-co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hicsboard.org/consultations-projects/tax-planning-and-related-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F1F62E-E2F4-4B5C-8C36-2D764A69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3030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2024-01-14T17:26:00Z</dcterms:created>
  <dcterms:modified xsi:type="dcterms:W3CDTF">2024-01-14T17:26:00Z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