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5452" w14:textId="2FC8758D" w:rsidR="008C148C" w:rsidRPr="008C148C" w:rsidRDefault="008C148C" w:rsidP="008C148C">
      <w:pPr>
        <w:keepNext/>
        <w:framePr w:dropCap="drop" w:lines="3" w:wrap="around" w:vAnchor="text" w:hAnchor="text"/>
        <w:spacing w:after="0" w:line="926" w:lineRule="exact"/>
        <w:textAlignment w:val="baseline"/>
        <w:rPr>
          <w:position w:val="-8"/>
          <w:sz w:val="122"/>
        </w:rPr>
      </w:pPr>
      <w:r w:rsidRPr="00CB7E72">
        <w:rPr>
          <w:position w:val="-8"/>
          <w:sz w:val="122"/>
        </w:rPr>
        <w:t>N</w:t>
      </w:r>
    </w:p>
    <w:p w14:paraId="3E560434" w14:textId="4AF839A6" w:rsidR="00CB7E72" w:rsidRPr="00CB7E72" w:rsidRDefault="00CB7E72" w:rsidP="00CB7E72">
      <w:r w:rsidRPr="00CB7E72">
        <w:rPr>
          <w:b/>
          <w:bCs/>
        </w:rPr>
        <w:t>ecesidad de Dos Libros de Código de Ética Internacional para Contadores Profesionales: Una Propuesta para Unificar Conocimientos y fortalecer la práctica profesional (Entrega 3)</w:t>
      </w:r>
      <w:r>
        <w:rPr>
          <w:b/>
          <w:bCs/>
        </w:rPr>
        <w:t xml:space="preserve"> </w:t>
      </w:r>
      <w:r w:rsidRPr="00CB7E72">
        <w:t xml:space="preserve">Esto implica que los contadores profesionales y quienes prestan servicios de aseguramiento de la sostenibilidad deben guiarse por un marco ético para evaluar la competencia, las capacidades y la objetividad de expertos externos. Disponible en: </w:t>
      </w:r>
      <w:hyperlink r:id="rId11" w:history="1">
        <w:r w:rsidRPr="00CB7E72">
          <w:rPr>
            <w:rStyle w:val="Hipervnculo"/>
            <w:b/>
            <w:bCs/>
          </w:rPr>
          <w:t>https://www.ethicsboard.org/_flysystem/azure-private/meetings/files/Agenda-Item-3-Sustainability-Use-of-Experts-Project-Proposal-Approved-Dec-2-2022.pdf</w:t>
        </w:r>
      </w:hyperlink>
      <w:r>
        <w:t xml:space="preserve"> </w:t>
      </w:r>
      <w:r w:rsidRPr="00CB7E72">
        <w:rPr>
          <w:b/>
          <w:bCs/>
        </w:rPr>
        <w:t>9. Borrador de modificaciones del código de ética para incorporar asuntos relacionados con la sostenibilidad</w:t>
      </w:r>
      <w:r w:rsidR="00BB2904">
        <w:rPr>
          <w:b/>
          <w:bCs/>
        </w:rPr>
        <w:t xml:space="preserve"> </w:t>
      </w:r>
      <w:r w:rsidRPr="00CB7E72">
        <w:rPr>
          <w:b/>
          <w:bCs/>
        </w:rPr>
        <w:t>Fecha de aplicación:</w:t>
      </w:r>
      <w:r w:rsidRPr="00CB7E72">
        <w:t xml:space="preserve"> A finales de diciembre de 2023 el IESBA anunció que en enero de 2024, emitirá el borrador de proyecto en el que se establecen modificaciones del </w:t>
      </w:r>
      <w:proofErr w:type="gramStart"/>
      <w:r w:rsidRPr="00CB7E72">
        <w:t>código  de</w:t>
      </w:r>
      <w:proofErr w:type="gramEnd"/>
      <w:r w:rsidRPr="00CB7E72">
        <w:t xml:space="preserve"> ética en lo relacionado con el aseguramiento y la presentación de informes de sostenibilidad. Este proyecto marco un hito en la discusión e integración de los temas de sostenibilidad en el marco de principios éticos de los contadores públicos.  Disponible en: </w:t>
      </w:r>
      <w:hyperlink r:id="rId12" w:history="1">
        <w:r w:rsidRPr="00CB7E72">
          <w:rPr>
            <w:rStyle w:val="Hipervnculo"/>
            <w:b/>
            <w:bCs/>
          </w:rPr>
          <w:t>https://www.ethicsboard.org/consultations-projects/sustainability</w:t>
        </w:r>
      </w:hyperlink>
      <w:r w:rsidR="00BB2904">
        <w:t xml:space="preserve"> </w:t>
      </w:r>
      <w:r w:rsidRPr="00CB7E72">
        <w:t>Con este resumen y análisis detallado, se destaca la importancia crítica de mantenerse actualizado con las últimas enmiendas y regulaciones, y se subraya la necesidad de una estructura más dinámica y accesible del código para los profesionales de la contabilidad en todo el mundo.</w:t>
      </w:r>
      <w:r w:rsidR="00BB2904">
        <w:t xml:space="preserve"> </w:t>
      </w:r>
      <w:r w:rsidRPr="00CB7E72">
        <w:rPr>
          <w:b/>
          <w:bCs/>
        </w:rPr>
        <w:t>Propuesta de Solución: Dos Libros de normas, el de normas requeridas, y el de normas emitidas.</w:t>
      </w:r>
      <w:r w:rsidR="00BB2904">
        <w:rPr>
          <w:b/>
          <w:bCs/>
        </w:rPr>
        <w:t xml:space="preserve"> </w:t>
      </w:r>
      <w:r w:rsidRPr="00CB7E72">
        <w:rPr>
          <w:b/>
          <w:bCs/>
        </w:rPr>
        <w:t>Libro de Normas Requeridas: Objetivo:</w:t>
      </w:r>
      <w:r w:rsidRPr="00CB7E72">
        <w:t xml:space="preserve"> Capturar todas las </w:t>
      </w:r>
      <w:r w:rsidRPr="00CB7E72">
        <w:t xml:space="preserve">normas obligatorias en un período determinado, actualizando regularmente para reflejar los cambios recientes. </w:t>
      </w:r>
      <w:r w:rsidRPr="00CB7E72">
        <w:rPr>
          <w:b/>
          <w:bCs/>
        </w:rPr>
        <w:t>Idioma y Coherencia:</w:t>
      </w:r>
      <w:r w:rsidRPr="00CB7E72">
        <w:t xml:space="preserve"> Es vital para asegurar que las traducciones al español sean precisas y se mantengan al día con las versiones en inglés, evitando lagunas y malentendidos.</w:t>
      </w:r>
      <w:r w:rsidR="00C156E9">
        <w:t xml:space="preserve"> </w:t>
      </w:r>
      <w:r w:rsidRPr="00CB7E72">
        <w:rPr>
          <w:b/>
          <w:bCs/>
        </w:rPr>
        <w:t>Libro de Normas Emitidas: Objetivo:</w:t>
      </w:r>
      <w:r w:rsidRPr="00CB7E72">
        <w:t xml:space="preserve"> Servir como una guía anticipada de todas las normas, incluyendo las que entrarán en vigor en el futuro, facilitando una planificación y adaptación proactivas. </w:t>
      </w:r>
      <w:r w:rsidRPr="00CB7E72">
        <w:rPr>
          <w:b/>
          <w:bCs/>
        </w:rPr>
        <w:t>Referencia y Comparación:</w:t>
      </w:r>
      <w:r w:rsidRPr="00CB7E72">
        <w:t xml:space="preserve"> Este recurso permitirá a los profesionales comparar rápidamente las versiones y entender las implicaciones de las actualizaciones.</w:t>
      </w:r>
      <w:r w:rsidR="00C156E9">
        <w:t xml:space="preserve"> </w:t>
      </w:r>
      <w:r w:rsidR="00C156E9" w:rsidRPr="00C156E9">
        <w:rPr>
          <w:b/>
          <w:bCs/>
        </w:rPr>
        <w:t>A.</w:t>
      </w:r>
      <w:r w:rsidR="00C156E9">
        <w:t xml:space="preserve"> </w:t>
      </w:r>
      <w:r w:rsidRPr="00CB7E72">
        <w:rPr>
          <w:b/>
          <w:bCs/>
        </w:rPr>
        <w:t xml:space="preserve">La aplicación del código en Colombia: Desafíos y posibles Estrategias. </w:t>
      </w:r>
      <w:r w:rsidRPr="00CB7E72">
        <w:t>El caso en Colombia es particularmente complejo, existen grandes desafíos, especialmente en relación con la forma de actualizar las normas de aseguramiento de la información descritas en la Ley 1314 de 2009.</w:t>
      </w:r>
      <w:r w:rsidR="00C156E9">
        <w:t xml:space="preserve"> </w:t>
      </w:r>
      <w:r w:rsidRPr="00CB7E72">
        <w:t>(…). Contin</w:t>
      </w:r>
      <w:r w:rsidR="00C156E9">
        <w:t>ú</w:t>
      </w:r>
      <w:r w:rsidRPr="00CB7E72">
        <w:t>a</w:t>
      </w:r>
    </w:p>
    <w:p w14:paraId="626594A5" w14:textId="078E2BA5" w:rsidR="000F528D" w:rsidRPr="00C156E9" w:rsidRDefault="00CB7E72" w:rsidP="00C156E9">
      <w:pPr>
        <w:jc w:val="right"/>
        <w:rPr>
          <w:i/>
          <w:iCs/>
        </w:rPr>
      </w:pPr>
      <w:r w:rsidRPr="00CB7E72">
        <w:rPr>
          <w:i/>
          <w:iCs/>
        </w:rPr>
        <w:t xml:space="preserve">Wilmar Franco </w:t>
      </w:r>
      <w:proofErr w:type="spellStart"/>
      <w:r w:rsidRPr="00CB7E72">
        <w:rPr>
          <w:i/>
          <w:iCs/>
        </w:rPr>
        <w:t>Franco</w:t>
      </w:r>
      <w:proofErr w:type="spellEnd"/>
    </w:p>
    <w:sectPr w:rsidR="000F528D" w:rsidRPr="00C156E9" w:rsidSect="009D6B4A">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32829" w14:textId="77777777" w:rsidR="009D6B4A" w:rsidRDefault="009D6B4A" w:rsidP="00EE7812">
      <w:pPr>
        <w:spacing w:after="0" w:line="240" w:lineRule="auto"/>
      </w:pPr>
      <w:r>
        <w:separator/>
      </w:r>
    </w:p>
  </w:endnote>
  <w:endnote w:type="continuationSeparator" w:id="0">
    <w:p w14:paraId="1C6BF27E" w14:textId="77777777" w:rsidR="009D6B4A" w:rsidRDefault="009D6B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4E47" w14:textId="77777777" w:rsidR="009D6B4A" w:rsidRDefault="009D6B4A" w:rsidP="00EE7812">
      <w:pPr>
        <w:spacing w:after="0" w:line="240" w:lineRule="auto"/>
      </w:pPr>
      <w:r>
        <w:separator/>
      </w:r>
    </w:p>
  </w:footnote>
  <w:footnote w:type="continuationSeparator" w:id="0">
    <w:p w14:paraId="7EC14324" w14:textId="77777777" w:rsidR="009D6B4A" w:rsidRDefault="009D6B4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7D07CBF9"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213949">
      <w:t>10</w:t>
    </w:r>
    <w:r w:rsidR="00117043">
      <w:t>,</w:t>
    </w:r>
    <w:r w:rsidR="007F1F4E">
      <w:t xml:space="preserve"> </w:t>
    </w:r>
    <w:r w:rsidR="00BE368B">
      <w:t>1</w:t>
    </w:r>
    <w:r w:rsidR="00B82D2B">
      <w:t>5</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23370167">
    <w:abstractNumId w:val="0"/>
  </w:num>
  <w:num w:numId="2" w16cid:durableId="1833452637">
    <w:abstractNumId w:val="21"/>
  </w:num>
  <w:num w:numId="3" w16cid:durableId="1780055617">
    <w:abstractNumId w:val="15"/>
  </w:num>
  <w:num w:numId="4" w16cid:durableId="1038167486">
    <w:abstractNumId w:val="2"/>
  </w:num>
  <w:num w:numId="5" w16cid:durableId="1590851431">
    <w:abstractNumId w:val="20"/>
  </w:num>
  <w:num w:numId="6" w16cid:durableId="734548096">
    <w:abstractNumId w:val="36"/>
  </w:num>
  <w:num w:numId="7" w16cid:durableId="1686204021">
    <w:abstractNumId w:val="13"/>
  </w:num>
  <w:num w:numId="8" w16cid:durableId="1644043669">
    <w:abstractNumId w:val="34"/>
  </w:num>
  <w:num w:numId="9" w16cid:durableId="618879953">
    <w:abstractNumId w:val="39"/>
  </w:num>
  <w:num w:numId="10" w16cid:durableId="811294396">
    <w:abstractNumId w:val="4"/>
  </w:num>
  <w:num w:numId="11" w16cid:durableId="556890600">
    <w:abstractNumId w:val="6"/>
  </w:num>
  <w:num w:numId="12" w16cid:durableId="1223053906">
    <w:abstractNumId w:val="19"/>
  </w:num>
  <w:num w:numId="13" w16cid:durableId="539825125">
    <w:abstractNumId w:val="22"/>
  </w:num>
  <w:num w:numId="14" w16cid:durableId="29185962">
    <w:abstractNumId w:val="32"/>
  </w:num>
  <w:num w:numId="15" w16cid:durableId="1301350004">
    <w:abstractNumId w:val="9"/>
  </w:num>
  <w:num w:numId="16" w16cid:durableId="2010406699">
    <w:abstractNumId w:val="7"/>
  </w:num>
  <w:num w:numId="17" w16cid:durableId="505443766">
    <w:abstractNumId w:val="17"/>
  </w:num>
  <w:num w:numId="18" w16cid:durableId="287325753">
    <w:abstractNumId w:val="31"/>
  </w:num>
  <w:num w:numId="19" w16cid:durableId="2075010316">
    <w:abstractNumId w:val="26"/>
  </w:num>
  <w:num w:numId="20" w16cid:durableId="1704163589">
    <w:abstractNumId w:val="8"/>
  </w:num>
  <w:num w:numId="21" w16cid:durableId="878470580">
    <w:abstractNumId w:val="27"/>
  </w:num>
  <w:num w:numId="22" w16cid:durableId="713383189">
    <w:abstractNumId w:val="28"/>
  </w:num>
  <w:num w:numId="23" w16cid:durableId="1377657891">
    <w:abstractNumId w:val="29"/>
  </w:num>
  <w:num w:numId="24" w16cid:durableId="1943024213">
    <w:abstractNumId w:val="35"/>
  </w:num>
  <w:num w:numId="25" w16cid:durableId="1078864352">
    <w:abstractNumId w:val="23"/>
  </w:num>
  <w:num w:numId="26" w16cid:durableId="2008288291">
    <w:abstractNumId w:val="14"/>
  </w:num>
  <w:num w:numId="27" w16cid:durableId="823010579">
    <w:abstractNumId w:val="5"/>
  </w:num>
  <w:num w:numId="28" w16cid:durableId="62147741">
    <w:abstractNumId w:val="24"/>
  </w:num>
  <w:num w:numId="29" w16cid:durableId="204410873">
    <w:abstractNumId w:val="1"/>
  </w:num>
  <w:num w:numId="30" w16cid:durableId="1383823528">
    <w:abstractNumId w:val="25"/>
  </w:num>
  <w:num w:numId="31" w16cid:durableId="1593395571">
    <w:abstractNumId w:val="30"/>
  </w:num>
  <w:num w:numId="32" w16cid:durableId="1646816702">
    <w:abstractNumId w:val="12"/>
  </w:num>
  <w:num w:numId="33" w16cid:durableId="1345328889">
    <w:abstractNumId w:val="18"/>
  </w:num>
  <w:num w:numId="34" w16cid:durableId="635599495">
    <w:abstractNumId w:val="3"/>
  </w:num>
  <w:num w:numId="35" w16cid:durableId="453982542">
    <w:abstractNumId w:val="37"/>
  </w:num>
  <w:num w:numId="36" w16cid:durableId="703558559">
    <w:abstractNumId w:val="10"/>
  </w:num>
  <w:num w:numId="37" w16cid:durableId="1148134621">
    <w:abstractNumId w:val="11"/>
  </w:num>
  <w:num w:numId="38" w16cid:durableId="228851764">
    <w:abstractNumId w:val="38"/>
  </w:num>
  <w:num w:numId="39" w16cid:durableId="686100088">
    <w:abstractNumId w:val="16"/>
  </w:num>
  <w:num w:numId="40" w16cid:durableId="96902041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1C9"/>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B80"/>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4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hicsboard.org/consultations-projects/sustainabil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hicsboard.org/_flysystem/azure-private/meetings/files/Agenda-Item-3-Sustainability-Use-of-Experts-Project-Proposal-Approved-Dec-2-2022.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F1F62E-E2F4-4B5C-8C36-2D764A697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2391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2024-01-14T17:28:00Z</dcterms:created>
  <dcterms:modified xsi:type="dcterms:W3CDTF">2024-01-14T17:28:00Z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