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929C5" w14:textId="6A23F7DA" w:rsidR="00143BC8" w:rsidRPr="00143BC8" w:rsidRDefault="00143BC8" w:rsidP="00143BC8">
      <w:pPr>
        <w:keepNext/>
        <w:framePr w:dropCap="drop" w:lines="3" w:wrap="around" w:vAnchor="text" w:hAnchor="text"/>
        <w:spacing w:after="0" w:line="926" w:lineRule="exact"/>
        <w:textAlignment w:val="baseline"/>
        <w:rPr>
          <w:position w:val="-9"/>
          <w:sz w:val="123"/>
        </w:rPr>
      </w:pPr>
      <w:r w:rsidRPr="00143BC8">
        <w:rPr>
          <w:position w:val="-9"/>
          <w:sz w:val="123"/>
        </w:rPr>
        <w:t>D</w:t>
      </w:r>
    </w:p>
    <w:p w14:paraId="16D5901B" w14:textId="6C332886" w:rsidR="00D34163" w:rsidRDefault="00143BC8" w:rsidP="00143BC8">
      <w:pPr>
        <w:rPr>
          <w:shd w:val="clear" w:color="auto" w:fill="FFFFFF"/>
        </w:rPr>
      </w:pPr>
      <w:r w:rsidRPr="006D5BE5">
        <w:rPr>
          <w:lang w:val="en-US"/>
        </w:rPr>
        <w:t xml:space="preserve">e acuerdo con el artículo </w:t>
      </w:r>
      <w:r w:rsidR="00000000">
        <w:fldChar w:fldCharType="begin"/>
      </w:r>
      <w:r w:rsidR="00000000" w:rsidRPr="006D5BE5">
        <w:rPr>
          <w:lang w:val="en-US"/>
        </w:rPr>
        <w:instrText>HYPERLINK "https://doi.org/10.1111/1911-3846.12892"</w:instrText>
      </w:r>
      <w:r w:rsidR="00000000">
        <w:fldChar w:fldCharType="separate"/>
      </w:r>
      <w:r w:rsidRPr="006D5BE5">
        <w:rPr>
          <w:rStyle w:val="Hipervnculo"/>
          <w:lang w:val="en-US"/>
        </w:rPr>
        <w:t>CEO power and the strategic selection of accounting financial experts to the audit committee</w:t>
      </w:r>
      <w:r w:rsidR="00000000">
        <w:rPr>
          <w:rStyle w:val="Hipervnculo"/>
        </w:rPr>
        <w:fldChar w:fldCharType="end"/>
      </w:r>
      <w:r w:rsidRPr="006D5BE5">
        <w:rPr>
          <w:lang w:val="en-US"/>
        </w:rPr>
        <w:t xml:space="preserve">, escrito por Anna Bedford, Samir Ghannam, Matthew Grosse, Nelson Ma, publicado por primera vez en </w:t>
      </w:r>
      <w:r w:rsidRPr="006D5BE5">
        <w:rPr>
          <w:i/>
          <w:iCs/>
          <w:lang w:val="en-US"/>
        </w:rPr>
        <w:t>Contemporary Accounting Research</w:t>
      </w:r>
      <w:r w:rsidRPr="006D5BE5">
        <w:rPr>
          <w:lang w:val="en-US"/>
        </w:rPr>
        <w:t xml:space="preserve"> el 02 August 2023 Volume40, Issue4, Winter 2023, Pages 2673-2710:“</w:t>
      </w:r>
      <w:r w:rsidRPr="006D5BE5">
        <w:rPr>
          <w:i/>
          <w:iCs/>
          <w:shd w:val="clear" w:color="auto" w:fill="FFFFFF"/>
          <w:lang w:val="en-US"/>
        </w:rPr>
        <w:t>This study examines whether powerful CEOs influence the appointment of AFEs to weaken audit committee monitoring and increase their discretion over financial reporting to meet or just beat analyst earnings forecasts. Using a measure of CEO power that incorporates CEO influence over the nominating committee, we add to the existing literature by documenting that firms with powerful CEOs are less likely to appoint AFEs to their audit committees and have lower overall AFE representation on their boards. Furthermore, firms with powerful CEOs are negatively associated with the board presence of effective AFEs (defined as AFEs who are more experienced, have higher status, and are socially independent from the CEO), who have a greater ability and willingness to monitor. More effective AFEs are also less likely to chair the audit committees of firms with powerful CEOs. We also find that firms with powerful CEOs engage in more benchmark-beating in the absence of effective AFEs. Results from additional analyses rule out the alternative explanation that AFEs prefer not to work with powerful CEOs. Overall, our results respond to an SEC (</w:t>
      </w:r>
      <w:r w:rsidR="00000000">
        <w:fldChar w:fldCharType="begin"/>
      </w:r>
      <w:r w:rsidR="00000000" w:rsidRPr="006D5BE5">
        <w:rPr>
          <w:lang w:val="en-US"/>
        </w:rPr>
        <w:instrText>HYPERLINK "https://onlinelibrary.wiley.com/doi/full/10.1111/1911-3846.12892" \l "care12892-bib-0098"</w:instrText>
      </w:r>
      <w:r w:rsidR="00000000">
        <w:fldChar w:fldCharType="separate"/>
      </w:r>
      <w:r w:rsidRPr="006D5BE5">
        <w:rPr>
          <w:rStyle w:val="Hipervnculo"/>
          <w:rFonts w:ascii="Open Sans" w:hAnsi="Open Sans" w:cs="Open Sans"/>
          <w:i/>
          <w:iCs/>
          <w:lang w:val="en-US"/>
        </w:rPr>
        <w:t>2015</w:t>
      </w:r>
      <w:r w:rsidR="00000000">
        <w:rPr>
          <w:rStyle w:val="Hipervnculo"/>
          <w:rFonts w:ascii="Open Sans" w:hAnsi="Open Sans" w:cs="Open Sans"/>
          <w:i/>
          <w:iCs/>
        </w:rPr>
        <w:fldChar w:fldCharType="end"/>
      </w:r>
      <w:r w:rsidRPr="006D5BE5">
        <w:rPr>
          <w:i/>
          <w:iCs/>
          <w:shd w:val="clear" w:color="auto" w:fill="FFFFFF"/>
          <w:lang w:val="en-US"/>
        </w:rPr>
        <w:t xml:space="preserve">) request for comment on how to define who qualifies as a financial expert. </w:t>
      </w:r>
      <w:proofErr w:type="spellStart"/>
      <w:r w:rsidRPr="00143BC8">
        <w:rPr>
          <w:i/>
          <w:iCs/>
          <w:shd w:val="clear" w:color="auto" w:fill="FFFFFF"/>
        </w:rPr>
        <w:t>Our</w:t>
      </w:r>
      <w:proofErr w:type="spellEnd"/>
      <w:r w:rsidRPr="00143BC8">
        <w:rPr>
          <w:i/>
          <w:iCs/>
          <w:shd w:val="clear" w:color="auto" w:fill="FFFFFF"/>
        </w:rPr>
        <w:t xml:space="preserve"> </w:t>
      </w:r>
      <w:proofErr w:type="spellStart"/>
      <w:r w:rsidRPr="00143BC8">
        <w:rPr>
          <w:i/>
          <w:iCs/>
          <w:shd w:val="clear" w:color="auto" w:fill="FFFFFF"/>
        </w:rPr>
        <w:t>results</w:t>
      </w:r>
      <w:proofErr w:type="spellEnd"/>
      <w:r w:rsidRPr="00143BC8">
        <w:rPr>
          <w:i/>
          <w:iCs/>
          <w:shd w:val="clear" w:color="auto" w:fill="FFFFFF"/>
        </w:rPr>
        <w:t xml:space="preserve"> </w:t>
      </w:r>
      <w:proofErr w:type="spellStart"/>
      <w:r w:rsidRPr="00143BC8">
        <w:rPr>
          <w:i/>
          <w:iCs/>
          <w:shd w:val="clear" w:color="auto" w:fill="FFFFFF"/>
        </w:rPr>
        <w:t>further</w:t>
      </w:r>
      <w:proofErr w:type="spellEnd"/>
      <w:r w:rsidRPr="00143BC8">
        <w:rPr>
          <w:i/>
          <w:iCs/>
          <w:shd w:val="clear" w:color="auto" w:fill="FFFFFF"/>
        </w:rPr>
        <w:t xml:space="preserve"> </w:t>
      </w:r>
      <w:proofErr w:type="spellStart"/>
      <w:r w:rsidRPr="00143BC8">
        <w:rPr>
          <w:i/>
          <w:iCs/>
          <w:shd w:val="clear" w:color="auto" w:fill="FFFFFF"/>
        </w:rPr>
        <w:t>align</w:t>
      </w:r>
      <w:proofErr w:type="spellEnd"/>
      <w:r w:rsidRPr="00143BC8">
        <w:rPr>
          <w:i/>
          <w:iCs/>
          <w:shd w:val="clear" w:color="auto" w:fill="FFFFFF"/>
        </w:rPr>
        <w:t xml:space="preserve"> </w:t>
      </w:r>
      <w:proofErr w:type="spellStart"/>
      <w:r w:rsidRPr="00143BC8">
        <w:rPr>
          <w:i/>
          <w:iCs/>
          <w:shd w:val="clear" w:color="auto" w:fill="FFFFFF"/>
        </w:rPr>
        <w:t>with</w:t>
      </w:r>
      <w:proofErr w:type="spellEnd"/>
      <w:r w:rsidRPr="00143BC8">
        <w:rPr>
          <w:i/>
          <w:iCs/>
          <w:shd w:val="clear" w:color="auto" w:fill="FFFFFF"/>
        </w:rPr>
        <w:t xml:space="preserve"> </w:t>
      </w:r>
      <w:proofErr w:type="spellStart"/>
      <w:r w:rsidRPr="00143BC8">
        <w:rPr>
          <w:i/>
          <w:iCs/>
          <w:shd w:val="clear" w:color="auto" w:fill="FFFFFF"/>
        </w:rPr>
        <w:t>practitioners</w:t>
      </w:r>
      <w:proofErr w:type="spellEnd"/>
      <w:r w:rsidRPr="00143BC8">
        <w:rPr>
          <w:i/>
          <w:iCs/>
          <w:shd w:val="clear" w:color="auto" w:fill="FFFFFF"/>
        </w:rPr>
        <w:t xml:space="preserve">' </w:t>
      </w:r>
      <w:proofErr w:type="spellStart"/>
      <w:r w:rsidRPr="00143BC8">
        <w:rPr>
          <w:i/>
          <w:iCs/>
          <w:shd w:val="clear" w:color="auto" w:fill="FFFFFF"/>
        </w:rPr>
        <w:t>calls</w:t>
      </w:r>
      <w:proofErr w:type="spellEnd"/>
      <w:r w:rsidRPr="00143BC8">
        <w:rPr>
          <w:i/>
          <w:iCs/>
          <w:shd w:val="clear" w:color="auto" w:fill="FFFFFF"/>
        </w:rPr>
        <w:t xml:space="preserve"> </w:t>
      </w:r>
      <w:proofErr w:type="spellStart"/>
      <w:r w:rsidRPr="00143BC8">
        <w:rPr>
          <w:i/>
          <w:iCs/>
          <w:shd w:val="clear" w:color="auto" w:fill="FFFFFF"/>
        </w:rPr>
        <w:t>for</w:t>
      </w:r>
      <w:proofErr w:type="spellEnd"/>
      <w:r w:rsidRPr="00143BC8">
        <w:rPr>
          <w:i/>
          <w:iCs/>
          <w:shd w:val="clear" w:color="auto" w:fill="FFFFFF"/>
        </w:rPr>
        <w:t xml:space="preserve"> </w:t>
      </w:r>
      <w:proofErr w:type="spellStart"/>
      <w:r w:rsidRPr="00143BC8">
        <w:rPr>
          <w:i/>
          <w:iCs/>
          <w:shd w:val="clear" w:color="auto" w:fill="FFFFFF"/>
        </w:rPr>
        <w:t>enhanced</w:t>
      </w:r>
      <w:proofErr w:type="spellEnd"/>
      <w:r w:rsidRPr="00143BC8">
        <w:rPr>
          <w:i/>
          <w:iCs/>
          <w:shd w:val="clear" w:color="auto" w:fill="FFFFFF"/>
        </w:rPr>
        <w:t xml:space="preserve"> </w:t>
      </w:r>
      <w:proofErr w:type="spellStart"/>
      <w:r w:rsidRPr="00143BC8">
        <w:rPr>
          <w:i/>
          <w:iCs/>
          <w:shd w:val="clear" w:color="auto" w:fill="FFFFFF"/>
        </w:rPr>
        <w:t>disclosure</w:t>
      </w:r>
      <w:proofErr w:type="spellEnd"/>
      <w:r w:rsidRPr="00143BC8">
        <w:rPr>
          <w:i/>
          <w:iCs/>
          <w:shd w:val="clear" w:color="auto" w:fill="FFFFFF"/>
        </w:rPr>
        <w:t xml:space="preserve"> </w:t>
      </w:r>
      <w:proofErr w:type="spellStart"/>
      <w:r w:rsidRPr="00143BC8">
        <w:rPr>
          <w:i/>
          <w:iCs/>
          <w:shd w:val="clear" w:color="auto" w:fill="FFFFFF"/>
        </w:rPr>
        <w:t>requirements</w:t>
      </w:r>
      <w:proofErr w:type="spellEnd"/>
      <w:r w:rsidRPr="00143BC8">
        <w:rPr>
          <w:i/>
          <w:iCs/>
          <w:shd w:val="clear" w:color="auto" w:fill="FFFFFF"/>
        </w:rPr>
        <w:t xml:space="preserve">. </w:t>
      </w:r>
      <w:proofErr w:type="spellStart"/>
      <w:r w:rsidRPr="00143BC8">
        <w:rPr>
          <w:i/>
          <w:iCs/>
          <w:shd w:val="clear" w:color="auto" w:fill="FFFFFF"/>
        </w:rPr>
        <w:t>The</w:t>
      </w:r>
      <w:proofErr w:type="spellEnd"/>
      <w:r w:rsidRPr="00143BC8">
        <w:rPr>
          <w:i/>
          <w:iCs/>
          <w:shd w:val="clear" w:color="auto" w:fill="FFFFFF"/>
        </w:rPr>
        <w:t xml:space="preserve"> </w:t>
      </w:r>
      <w:proofErr w:type="spellStart"/>
      <w:r w:rsidRPr="00143BC8">
        <w:rPr>
          <w:i/>
          <w:iCs/>
          <w:shd w:val="clear" w:color="auto" w:fill="FFFFFF"/>
        </w:rPr>
        <w:t>additional</w:t>
      </w:r>
      <w:proofErr w:type="spellEnd"/>
      <w:r w:rsidRPr="00143BC8">
        <w:rPr>
          <w:i/>
          <w:iCs/>
          <w:shd w:val="clear" w:color="auto" w:fill="FFFFFF"/>
        </w:rPr>
        <w:t xml:space="preserve"> </w:t>
      </w:r>
      <w:proofErr w:type="spellStart"/>
      <w:r w:rsidRPr="00143BC8">
        <w:rPr>
          <w:i/>
          <w:iCs/>
          <w:shd w:val="clear" w:color="auto" w:fill="FFFFFF"/>
        </w:rPr>
        <w:t>required</w:t>
      </w:r>
      <w:proofErr w:type="spellEnd"/>
      <w:r w:rsidRPr="00143BC8">
        <w:rPr>
          <w:i/>
          <w:iCs/>
          <w:shd w:val="clear" w:color="auto" w:fill="FFFFFF"/>
        </w:rPr>
        <w:t xml:space="preserve"> </w:t>
      </w:r>
      <w:proofErr w:type="spellStart"/>
      <w:r w:rsidRPr="00143BC8">
        <w:rPr>
          <w:i/>
          <w:iCs/>
          <w:shd w:val="clear" w:color="auto" w:fill="FFFFFF"/>
        </w:rPr>
        <w:t>disclosures</w:t>
      </w:r>
      <w:proofErr w:type="spellEnd"/>
      <w:r w:rsidRPr="00143BC8">
        <w:rPr>
          <w:i/>
          <w:iCs/>
          <w:shd w:val="clear" w:color="auto" w:fill="FFFFFF"/>
        </w:rPr>
        <w:t xml:space="preserve"> </w:t>
      </w:r>
      <w:proofErr w:type="spellStart"/>
      <w:r w:rsidRPr="00143BC8">
        <w:rPr>
          <w:i/>
          <w:iCs/>
          <w:shd w:val="clear" w:color="auto" w:fill="FFFFFF"/>
        </w:rPr>
        <w:t>should</w:t>
      </w:r>
      <w:proofErr w:type="spellEnd"/>
      <w:r w:rsidRPr="00143BC8">
        <w:rPr>
          <w:i/>
          <w:iCs/>
          <w:shd w:val="clear" w:color="auto" w:fill="FFFFFF"/>
        </w:rPr>
        <w:t xml:space="preserve"> </w:t>
      </w:r>
      <w:proofErr w:type="spellStart"/>
      <w:r w:rsidRPr="00143BC8">
        <w:rPr>
          <w:i/>
          <w:iCs/>
          <w:shd w:val="clear" w:color="auto" w:fill="FFFFFF"/>
        </w:rPr>
        <w:t>cover</w:t>
      </w:r>
      <w:proofErr w:type="spellEnd"/>
      <w:r w:rsidRPr="00143BC8">
        <w:rPr>
          <w:i/>
          <w:iCs/>
          <w:shd w:val="clear" w:color="auto" w:fill="FFFFFF"/>
        </w:rPr>
        <w:t xml:space="preserve"> </w:t>
      </w:r>
      <w:proofErr w:type="spellStart"/>
      <w:r w:rsidRPr="00143BC8">
        <w:rPr>
          <w:i/>
          <w:iCs/>
          <w:shd w:val="clear" w:color="auto" w:fill="FFFFFF"/>
        </w:rPr>
        <w:t>AFEs</w:t>
      </w:r>
      <w:proofErr w:type="spellEnd"/>
      <w:r w:rsidRPr="00143BC8">
        <w:rPr>
          <w:i/>
          <w:iCs/>
          <w:shd w:val="clear" w:color="auto" w:fill="FFFFFF"/>
        </w:rPr>
        <w:t xml:space="preserve">' individual </w:t>
      </w:r>
      <w:proofErr w:type="spellStart"/>
      <w:r w:rsidRPr="00143BC8">
        <w:rPr>
          <w:i/>
          <w:iCs/>
          <w:shd w:val="clear" w:color="auto" w:fill="FFFFFF"/>
        </w:rPr>
        <w:t>characteristics</w:t>
      </w:r>
      <w:proofErr w:type="spellEnd"/>
      <w:r w:rsidRPr="00143BC8">
        <w:rPr>
          <w:i/>
          <w:iCs/>
          <w:shd w:val="clear" w:color="auto" w:fill="FFFFFF"/>
        </w:rPr>
        <w:t xml:space="preserve">, as </w:t>
      </w:r>
      <w:proofErr w:type="spellStart"/>
      <w:r w:rsidRPr="00143BC8">
        <w:rPr>
          <w:i/>
          <w:iCs/>
          <w:shd w:val="clear" w:color="auto" w:fill="FFFFFF"/>
        </w:rPr>
        <w:t>this</w:t>
      </w:r>
      <w:proofErr w:type="spellEnd"/>
      <w:r w:rsidRPr="00143BC8">
        <w:rPr>
          <w:i/>
          <w:iCs/>
          <w:shd w:val="clear" w:color="auto" w:fill="FFFFFF"/>
        </w:rPr>
        <w:t xml:space="preserve"> </w:t>
      </w:r>
      <w:proofErr w:type="spellStart"/>
      <w:r w:rsidRPr="00143BC8">
        <w:rPr>
          <w:i/>
          <w:iCs/>
          <w:shd w:val="clear" w:color="auto" w:fill="FFFFFF"/>
        </w:rPr>
        <w:t>information</w:t>
      </w:r>
      <w:proofErr w:type="spellEnd"/>
      <w:r w:rsidRPr="00143BC8">
        <w:rPr>
          <w:i/>
          <w:iCs/>
          <w:shd w:val="clear" w:color="auto" w:fill="FFFFFF"/>
        </w:rPr>
        <w:t xml:space="preserve"> </w:t>
      </w:r>
      <w:proofErr w:type="spellStart"/>
      <w:r w:rsidRPr="00143BC8">
        <w:rPr>
          <w:i/>
          <w:iCs/>
          <w:shd w:val="clear" w:color="auto" w:fill="FFFFFF"/>
        </w:rPr>
        <w:t>is</w:t>
      </w:r>
      <w:proofErr w:type="spellEnd"/>
      <w:r w:rsidRPr="00143BC8">
        <w:rPr>
          <w:i/>
          <w:iCs/>
          <w:shd w:val="clear" w:color="auto" w:fill="FFFFFF"/>
        </w:rPr>
        <w:t xml:space="preserve"> indicative </w:t>
      </w:r>
      <w:proofErr w:type="spellStart"/>
      <w:r w:rsidRPr="00143BC8">
        <w:rPr>
          <w:i/>
          <w:iCs/>
          <w:shd w:val="clear" w:color="auto" w:fill="FFFFFF"/>
        </w:rPr>
        <w:t>of</w:t>
      </w:r>
      <w:proofErr w:type="spellEnd"/>
      <w:r w:rsidRPr="00143BC8">
        <w:rPr>
          <w:i/>
          <w:iCs/>
          <w:shd w:val="clear" w:color="auto" w:fill="FFFFFF"/>
        </w:rPr>
        <w:t xml:space="preserve"> </w:t>
      </w:r>
      <w:proofErr w:type="spellStart"/>
      <w:r w:rsidRPr="00143BC8">
        <w:rPr>
          <w:i/>
          <w:iCs/>
          <w:shd w:val="clear" w:color="auto" w:fill="FFFFFF"/>
        </w:rPr>
        <w:t>AFEs</w:t>
      </w:r>
      <w:proofErr w:type="spellEnd"/>
      <w:r w:rsidRPr="00143BC8">
        <w:rPr>
          <w:i/>
          <w:iCs/>
          <w:shd w:val="clear" w:color="auto" w:fill="FFFFFF"/>
        </w:rPr>
        <w:t xml:space="preserve">' </w:t>
      </w:r>
      <w:proofErr w:type="spellStart"/>
      <w:r w:rsidRPr="00143BC8">
        <w:rPr>
          <w:i/>
          <w:iCs/>
          <w:shd w:val="clear" w:color="auto" w:fill="FFFFFF"/>
        </w:rPr>
        <w:t>capacity</w:t>
      </w:r>
      <w:proofErr w:type="spellEnd"/>
      <w:r w:rsidRPr="00143BC8">
        <w:rPr>
          <w:i/>
          <w:iCs/>
          <w:shd w:val="clear" w:color="auto" w:fill="FFFFFF"/>
        </w:rPr>
        <w:t xml:space="preserve"> </w:t>
      </w:r>
      <w:proofErr w:type="spellStart"/>
      <w:r w:rsidRPr="00143BC8">
        <w:rPr>
          <w:i/>
          <w:iCs/>
          <w:shd w:val="clear" w:color="auto" w:fill="FFFFFF"/>
        </w:rPr>
        <w:t>to</w:t>
      </w:r>
      <w:proofErr w:type="spellEnd"/>
      <w:r w:rsidRPr="00143BC8">
        <w:rPr>
          <w:i/>
          <w:iCs/>
          <w:shd w:val="clear" w:color="auto" w:fill="FFFFFF"/>
        </w:rPr>
        <w:t xml:space="preserve"> monitor </w:t>
      </w:r>
      <w:proofErr w:type="spellStart"/>
      <w:r w:rsidRPr="00143BC8">
        <w:rPr>
          <w:i/>
          <w:iCs/>
          <w:shd w:val="clear" w:color="auto" w:fill="FFFFFF"/>
        </w:rPr>
        <w:t>effectively</w:t>
      </w:r>
      <w:proofErr w:type="spellEnd"/>
      <w:r w:rsidRPr="00143BC8">
        <w:rPr>
          <w:i/>
          <w:iCs/>
          <w:shd w:val="clear" w:color="auto" w:fill="FFFFFF"/>
        </w:rPr>
        <w:t xml:space="preserve"> </w:t>
      </w:r>
      <w:proofErr w:type="spellStart"/>
      <w:r w:rsidRPr="00143BC8">
        <w:rPr>
          <w:i/>
          <w:iCs/>
          <w:shd w:val="clear" w:color="auto" w:fill="FFFFFF"/>
        </w:rPr>
        <w:t>the</w:t>
      </w:r>
      <w:proofErr w:type="spellEnd"/>
      <w:r w:rsidRPr="00143BC8">
        <w:rPr>
          <w:i/>
          <w:iCs/>
          <w:shd w:val="clear" w:color="auto" w:fill="FFFFFF"/>
        </w:rPr>
        <w:t xml:space="preserve"> financial </w:t>
      </w:r>
      <w:proofErr w:type="spellStart"/>
      <w:r w:rsidRPr="00143BC8">
        <w:rPr>
          <w:i/>
          <w:iCs/>
          <w:shd w:val="clear" w:color="auto" w:fill="FFFFFF"/>
        </w:rPr>
        <w:t>reporting</w:t>
      </w:r>
      <w:proofErr w:type="spellEnd"/>
      <w:r w:rsidRPr="00143BC8">
        <w:rPr>
          <w:i/>
          <w:iCs/>
          <w:shd w:val="clear" w:color="auto" w:fill="FFFFFF"/>
        </w:rPr>
        <w:t xml:space="preserve"> </w:t>
      </w:r>
      <w:proofErr w:type="spellStart"/>
      <w:r w:rsidRPr="00143BC8">
        <w:rPr>
          <w:i/>
          <w:iCs/>
          <w:shd w:val="clear" w:color="auto" w:fill="FFFFFF"/>
        </w:rPr>
        <w:t>process</w:t>
      </w:r>
      <w:proofErr w:type="spellEnd"/>
      <w:r w:rsidRPr="00143BC8">
        <w:rPr>
          <w:i/>
          <w:iCs/>
          <w:shd w:val="clear" w:color="auto" w:fill="FFFFFF"/>
        </w:rPr>
        <w:t xml:space="preserve"> (Conway, </w:t>
      </w:r>
      <w:hyperlink r:id="rId11" w:anchor="care12892-bib-0029" w:history="1">
        <w:r w:rsidRPr="00143BC8">
          <w:rPr>
            <w:rStyle w:val="Hipervnculo"/>
            <w:rFonts w:ascii="Open Sans" w:hAnsi="Open Sans" w:cs="Open Sans"/>
            <w:i/>
            <w:iCs/>
          </w:rPr>
          <w:t>2015</w:t>
        </w:r>
      </w:hyperlink>
      <w:r w:rsidRPr="00143BC8">
        <w:rPr>
          <w:i/>
          <w:iCs/>
          <w:shd w:val="clear" w:color="auto" w:fill="FFFFFF"/>
        </w:rPr>
        <w:t xml:space="preserve">; </w:t>
      </w:r>
      <w:proofErr w:type="spellStart"/>
      <w:r w:rsidRPr="00143BC8">
        <w:rPr>
          <w:i/>
          <w:iCs/>
          <w:shd w:val="clear" w:color="auto" w:fill="FFFFFF"/>
        </w:rPr>
        <w:t>Dickey</w:t>
      </w:r>
      <w:proofErr w:type="spellEnd"/>
      <w:r w:rsidRPr="00143BC8">
        <w:rPr>
          <w:i/>
          <w:iCs/>
          <w:shd w:val="clear" w:color="auto" w:fill="FFFFFF"/>
        </w:rPr>
        <w:t>, </w:t>
      </w:r>
      <w:hyperlink r:id="rId12" w:anchor="care12892-bib-0036" w:history="1">
        <w:r w:rsidRPr="00143BC8">
          <w:rPr>
            <w:rStyle w:val="Hipervnculo"/>
            <w:rFonts w:ascii="Open Sans" w:hAnsi="Open Sans" w:cs="Open Sans"/>
            <w:i/>
            <w:iCs/>
          </w:rPr>
          <w:t>2015</w:t>
        </w:r>
      </w:hyperlink>
      <w:r w:rsidRPr="00143BC8">
        <w:rPr>
          <w:i/>
          <w:iCs/>
          <w:shd w:val="clear" w:color="auto" w:fill="FFFFFF"/>
        </w:rPr>
        <w:t>; EY, </w:t>
      </w:r>
      <w:hyperlink r:id="rId13" w:anchor="care12892-bib-0044" w:history="1">
        <w:r w:rsidRPr="00143BC8">
          <w:rPr>
            <w:rStyle w:val="Hipervnculo"/>
            <w:rFonts w:ascii="Open Sans" w:hAnsi="Open Sans" w:cs="Open Sans"/>
            <w:i/>
            <w:iCs/>
          </w:rPr>
          <w:t>2015</w:t>
        </w:r>
      </w:hyperlink>
      <w:r w:rsidRPr="00143BC8">
        <w:rPr>
          <w:i/>
          <w:iCs/>
          <w:shd w:val="clear" w:color="auto" w:fill="FFFFFF"/>
        </w:rPr>
        <w:t>).</w:t>
      </w:r>
      <w:r>
        <w:rPr>
          <w:shd w:val="clear" w:color="auto" w:fill="FFFFFF"/>
        </w:rPr>
        <w:t xml:space="preserve">” Muchas veces olvidamos que toda norma, en cuanto es un acto de fuerza de un tercero (generalmente el Estado), no siempre es acatada. </w:t>
      </w:r>
      <w:r w:rsidR="00F93374">
        <w:rPr>
          <w:shd w:val="clear" w:color="auto" w:fill="FFFFFF"/>
        </w:rPr>
        <w:t>Comúnmente</w:t>
      </w:r>
      <w:r>
        <w:rPr>
          <w:shd w:val="clear" w:color="auto" w:fill="FFFFFF"/>
        </w:rPr>
        <w:t xml:space="preserve"> habrá al menos tres posiciones: los que acojan la norma y traten de cumplirla, los que la rechacen y los que traten de aparentar el cumplimiento cuando en realidad busquen su desconocimiento.</w:t>
      </w:r>
      <w:r w:rsidR="00FB36C8">
        <w:rPr>
          <w:shd w:val="clear" w:color="auto" w:fill="FFFFFF"/>
        </w:rPr>
        <w:t xml:space="preserve"> La contratación de miembros independientes puede ser muy tranquila o puede estar rodeada de muchas presiones. Entre nosotros es común creer que la obtención de un empleo es cuestión de palancas, razón por la cual buscamos recomendaciones. Es más, muchas empresas exigen tres referencias.</w:t>
      </w:r>
      <w:r w:rsidR="004743E1">
        <w:rPr>
          <w:shd w:val="clear" w:color="auto" w:fill="FFFFFF"/>
        </w:rPr>
        <w:t xml:space="preserve"> Las condiciones de remuneración deberían ser públicas y las responsabilidades no deberían poderse desplazar a terceros sino bajo circunstancias normales. Luego de la vinculación aparecerán constantemente acciones de enamoramiento de manera que la libertad se ejerza dentro de un ambiente de camaradería.</w:t>
      </w:r>
      <w:r w:rsidR="00DB4D6E">
        <w:rPr>
          <w:shd w:val="clear" w:color="auto" w:fill="FFFFFF"/>
        </w:rPr>
        <w:t xml:space="preserve"> Esta es una materia en la que debe aplicarse aquello de que “por sus frutos los conoceréis” (Mateo 7,16). Sin embargo, se confunde la experiencia con la multitud de clientes.</w:t>
      </w:r>
      <w:r w:rsidR="00C84142">
        <w:rPr>
          <w:shd w:val="clear" w:color="auto" w:fill="FFFFFF"/>
        </w:rPr>
        <w:t xml:space="preserve"> El comportamiento científico es un gran indicador de la independencia, porque todo es sujeto a riguroso estudio y toda conclusión se apoya en evidencia que no se ha podido falsar. En este no hay indicios de sesgos.</w:t>
      </w:r>
    </w:p>
    <w:p w14:paraId="6CBB5FDA" w14:textId="27B87DB2" w:rsidR="00C84142" w:rsidRPr="00FC58C9" w:rsidRDefault="00C84142" w:rsidP="00C84142">
      <w:pPr>
        <w:jc w:val="right"/>
      </w:pPr>
      <w:r w:rsidRPr="00844BFA">
        <w:rPr>
          <w:i/>
        </w:rPr>
        <w:t>Hernando Bermúdez Gómez</w:t>
      </w:r>
    </w:p>
    <w:sectPr w:rsidR="00C84142" w:rsidRPr="00FC58C9" w:rsidSect="00513C0B">
      <w:headerReference w:type="default" r:id="rId14"/>
      <w:footerReference w:type="default" r:id="rId15"/>
      <w:type w:val="continuous"/>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69059" w14:textId="77777777" w:rsidR="00513C0B" w:rsidRDefault="00513C0B" w:rsidP="00EE7812">
      <w:pPr>
        <w:spacing w:after="0" w:line="240" w:lineRule="auto"/>
      </w:pPr>
      <w:r>
        <w:separator/>
      </w:r>
    </w:p>
  </w:endnote>
  <w:endnote w:type="continuationSeparator" w:id="0">
    <w:p w14:paraId="25AF7BA7" w14:textId="77777777" w:rsidR="00513C0B" w:rsidRDefault="00513C0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2AE13" w14:textId="77777777" w:rsidR="00513C0B" w:rsidRDefault="00513C0B" w:rsidP="00EE7812">
      <w:pPr>
        <w:spacing w:after="0" w:line="240" w:lineRule="auto"/>
      </w:pPr>
      <w:r>
        <w:separator/>
      </w:r>
    </w:p>
  </w:footnote>
  <w:footnote w:type="continuationSeparator" w:id="0">
    <w:p w14:paraId="1A7B7FF6" w14:textId="77777777" w:rsidR="00513C0B" w:rsidRDefault="00513C0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1BDC298C"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E72423">
      <w:t>5</w:t>
    </w:r>
    <w:r w:rsidR="006039FD">
      <w:t>3</w:t>
    </w:r>
    <w:r w:rsidR="00117043">
      <w:t>,</w:t>
    </w:r>
    <w:r w:rsidR="007F1F4E">
      <w:t xml:space="preserve"> </w:t>
    </w:r>
    <w:r w:rsidR="00DA66D2">
      <w:t>12</w:t>
    </w:r>
    <w:r w:rsidR="001E23A5">
      <w:t xml:space="preserve"> </w:t>
    </w:r>
    <w:r w:rsidR="009365CF">
      <w:t>de</w:t>
    </w:r>
    <w:r w:rsidR="001E23A5">
      <w:t xml:space="preserve"> </w:t>
    </w:r>
    <w:r w:rsidR="002227EB">
      <w:t>febrero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38"/>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5D2"/>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0EB"/>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697"/>
    <w:rsid w:val="0012071C"/>
    <w:rsid w:val="00120740"/>
    <w:rsid w:val="0012077F"/>
    <w:rsid w:val="00120793"/>
    <w:rsid w:val="001207A5"/>
    <w:rsid w:val="001207B1"/>
    <w:rsid w:val="001207DC"/>
    <w:rsid w:val="00120899"/>
    <w:rsid w:val="001208AE"/>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58"/>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C8"/>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8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4A8"/>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97"/>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3B9"/>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245"/>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17"/>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6"/>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6BB"/>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09E"/>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1"/>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0B"/>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DBD"/>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2D"/>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25"/>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4D"/>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48"/>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9FD"/>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2"/>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BEB"/>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AED"/>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50"/>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E5"/>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16"/>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5FD0"/>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0C"/>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ABE"/>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CC"/>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121"/>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E34"/>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9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01"/>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8B"/>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E2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43"/>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58"/>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15"/>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68"/>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7B6"/>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43"/>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42"/>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B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0"/>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EC9"/>
    <w:rsid w:val="00D33F02"/>
    <w:rsid w:val="00D33F31"/>
    <w:rsid w:val="00D3401A"/>
    <w:rsid w:val="00D34079"/>
    <w:rsid w:val="00D340DC"/>
    <w:rsid w:val="00D34163"/>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0C"/>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527"/>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6D2"/>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6E"/>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60"/>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96"/>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423"/>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3"/>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8FF"/>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CD2"/>
    <w:rsid w:val="00E91D47"/>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A2"/>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07E"/>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98"/>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74"/>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C8"/>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8C9"/>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269259">
      <w:bodyDiv w:val="1"/>
      <w:marLeft w:val="0"/>
      <w:marRight w:val="0"/>
      <w:marTop w:val="0"/>
      <w:marBottom w:val="0"/>
      <w:divBdr>
        <w:top w:val="none" w:sz="0" w:space="0" w:color="auto"/>
        <w:left w:val="none" w:sz="0" w:space="0" w:color="auto"/>
        <w:bottom w:val="none" w:sz="0" w:space="0" w:color="auto"/>
        <w:right w:val="none" w:sz="0" w:space="0" w:color="auto"/>
      </w:divBdr>
      <w:divsChild>
        <w:div w:id="1193805982">
          <w:marLeft w:val="0"/>
          <w:marRight w:val="0"/>
          <w:marTop w:val="0"/>
          <w:marBottom w:val="0"/>
          <w:divBdr>
            <w:top w:val="none" w:sz="0" w:space="0" w:color="auto"/>
            <w:left w:val="none" w:sz="0" w:space="0" w:color="auto"/>
            <w:bottom w:val="none" w:sz="0" w:space="0" w:color="auto"/>
            <w:right w:val="none" w:sz="0" w:space="0" w:color="auto"/>
          </w:divBdr>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linelibrary.wiley.com/doi/full/10.1111/1911-3846.1289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nlinelibrary.wiley.com/doi/full/10.1111/1911-3846.1289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nlinelibrary.wiley.com/doi/full/10.1111/1911-3846.1289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565</Words>
  <Characters>3109</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3667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2024-02-10T22:25:00Z</dcterms:created>
  <dcterms:modified xsi:type="dcterms:W3CDTF">2024-02-10T22:25:00Z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