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1C87" w14:textId="3D870B1D" w:rsidR="0011626A" w:rsidRPr="0011626A" w:rsidRDefault="0011626A" w:rsidP="0011626A">
      <w:pPr>
        <w:keepNext/>
        <w:framePr w:dropCap="drop" w:lines="3" w:wrap="around" w:vAnchor="text" w:hAnchor="text"/>
        <w:spacing w:after="0" w:line="926" w:lineRule="exact"/>
        <w:textAlignment w:val="baseline"/>
        <w:rPr>
          <w:position w:val="-9"/>
          <w:sz w:val="123"/>
          <w:lang w:val="en-US"/>
        </w:rPr>
      </w:pPr>
      <w:r w:rsidRPr="0011626A">
        <w:rPr>
          <w:position w:val="-9"/>
          <w:sz w:val="123"/>
          <w:lang w:val="en-US"/>
        </w:rPr>
        <w:t>E</w:t>
      </w:r>
    </w:p>
    <w:p w14:paraId="3647DF51" w14:textId="4D4757E8" w:rsidR="007F1B51" w:rsidRDefault="0011626A" w:rsidP="00544588">
      <w:r>
        <w:rPr>
          <w:lang w:val="en-US"/>
        </w:rPr>
        <w:t xml:space="preserve">ncontramos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Pr="0011626A">
        <w:rPr>
          <w:i/>
          <w:iCs/>
          <w:lang w:val="en-US"/>
        </w:rPr>
        <w:t>Related Party Transactions and Audit Quality: Evidence on the Efficacy of Auditing Standard No. 18</w:t>
      </w:r>
      <w:r>
        <w:rPr>
          <w:lang w:val="en-US"/>
        </w:rPr>
        <w:t xml:space="preserve">, </w:t>
      </w:r>
      <w:proofErr w:type="spellStart"/>
      <w:r>
        <w:rPr>
          <w:lang w:val="en-US"/>
        </w:rPr>
        <w:t>escrita</w:t>
      </w:r>
      <w:proofErr w:type="spellEnd"/>
      <w:r>
        <w:rPr>
          <w:lang w:val="en-US"/>
        </w:rPr>
        <w:t xml:space="preserve"> </w:t>
      </w:r>
      <w:proofErr w:type="spellStart"/>
      <w:r>
        <w:rPr>
          <w:lang w:val="en-US"/>
        </w:rPr>
        <w:t>por</w:t>
      </w:r>
      <w:proofErr w:type="spellEnd"/>
      <w:r>
        <w:rPr>
          <w:lang w:val="en-US"/>
        </w:rPr>
        <w:t xml:space="preserve"> </w:t>
      </w:r>
      <w:r w:rsidRPr="0011626A">
        <w:rPr>
          <w:lang w:val="en-US"/>
        </w:rPr>
        <w:t xml:space="preserve">Ahmed, </w:t>
      </w:r>
      <w:proofErr w:type="spellStart"/>
      <w:r w:rsidRPr="0011626A">
        <w:rPr>
          <w:lang w:val="en-US"/>
        </w:rPr>
        <w:t>Anwer</w:t>
      </w:r>
      <w:proofErr w:type="spellEnd"/>
      <w:r w:rsidRPr="0011626A">
        <w:rPr>
          <w:lang w:val="en-US"/>
        </w:rPr>
        <w:t xml:space="preserve"> S.</w:t>
      </w:r>
      <w:r>
        <w:rPr>
          <w:lang w:val="en-US"/>
        </w:rPr>
        <w:t>;</w:t>
      </w:r>
      <w:r w:rsidRPr="0011626A">
        <w:rPr>
          <w:lang w:val="en-US"/>
        </w:rPr>
        <w:t xml:space="preserve"> Al-Dah, Bilal</w:t>
      </w:r>
      <w:r>
        <w:rPr>
          <w:lang w:val="en-US"/>
        </w:rPr>
        <w:t>;</w:t>
      </w:r>
      <w:r w:rsidRPr="0011626A">
        <w:rPr>
          <w:lang w:val="en-US"/>
        </w:rPr>
        <w:t xml:space="preserve"> El-Helaly, Moataz</w:t>
      </w:r>
      <w:r>
        <w:rPr>
          <w:lang w:val="en-US"/>
        </w:rPr>
        <w:t xml:space="preserve"> &amp;</w:t>
      </w:r>
      <w:r w:rsidRPr="0011626A">
        <w:rPr>
          <w:lang w:val="en-US"/>
        </w:rPr>
        <w:t xml:space="preserve"> Fleszar, Krzysztof, </w:t>
      </w:r>
      <w:proofErr w:type="spellStart"/>
      <w:r>
        <w:rPr>
          <w:lang w:val="en-US"/>
        </w:rPr>
        <w:t>publicada</w:t>
      </w:r>
      <w:proofErr w:type="spellEnd"/>
      <w:r>
        <w:rPr>
          <w:lang w:val="en-US"/>
        </w:rPr>
        <w:t xml:space="preserve"> </w:t>
      </w:r>
      <w:proofErr w:type="spellStart"/>
      <w:r>
        <w:rPr>
          <w:lang w:val="en-US"/>
        </w:rPr>
        <w:t>en</w:t>
      </w:r>
      <w:proofErr w:type="spellEnd"/>
      <w:r>
        <w:rPr>
          <w:lang w:val="en-US"/>
        </w:rPr>
        <w:t xml:space="preserve"> </w:t>
      </w:r>
      <w:r w:rsidRPr="0011626A">
        <w:rPr>
          <w:i/>
          <w:iCs/>
          <w:lang w:val="en-US"/>
        </w:rPr>
        <w:t>Auditing: A Journal of Practice &amp; Theory</w:t>
      </w:r>
      <w:r w:rsidRPr="0011626A">
        <w:rPr>
          <w:lang w:val="en-US"/>
        </w:rPr>
        <w:t xml:space="preserve">, 02780380, Feb2024, Vol. 43, </w:t>
      </w:r>
      <w:proofErr w:type="spellStart"/>
      <w:r w:rsidRPr="0011626A">
        <w:rPr>
          <w:lang w:val="en-US"/>
        </w:rPr>
        <w:t>Fascículo</w:t>
      </w:r>
      <w:proofErr w:type="spellEnd"/>
      <w:r w:rsidRPr="0011626A">
        <w:rPr>
          <w:lang w:val="en-US"/>
        </w:rPr>
        <w:t xml:space="preserve"> 1 </w:t>
      </w:r>
      <w:r w:rsidR="00F33C24">
        <w:rPr>
          <w:lang w:val="en-US"/>
        </w:rPr>
        <w:t xml:space="preserve">la </w:t>
      </w:r>
      <w:proofErr w:type="spellStart"/>
      <w:r w:rsidR="00F33C24">
        <w:rPr>
          <w:lang w:val="en-US"/>
        </w:rPr>
        <w:t>siguiente</w:t>
      </w:r>
      <w:proofErr w:type="spellEnd"/>
      <w:r w:rsidR="00F33C24">
        <w:rPr>
          <w:lang w:val="en-US"/>
        </w:rPr>
        <w:t xml:space="preserve"> conclusion: </w:t>
      </w:r>
      <w:r w:rsidRPr="0011626A">
        <w:rPr>
          <w:lang w:val="en-US"/>
        </w:rPr>
        <w:t>“</w:t>
      </w:r>
      <w:r w:rsidRPr="0011626A">
        <w:rPr>
          <w:i/>
          <w:iCs/>
          <w:lang w:val="en-US"/>
        </w:rPr>
        <w:t>We provide evidence on the effects of AS18 on audit quality using RPT-related restatements and general restatements for a large sample of firms over an eight-year period surrounding the effective date of AS18 (2011–2018). First, we find that RPT firms experience a significant decrease in the likelihood of reporting a restatement after the introduction of AS18 compared with non-RPT firms. This reduction in restatements is driven by business RPT firms. Second, we find that business RPT firms are significantly less likely than nonbusiness RPT firms to report a restatement attributed to RPTs after AS18. Finally, we document that our findings are driven by non-S&amp;P 500 firms. This suggests that the RPT audit quality of larger firms was not significantly impacted after AS18. In additional analysis, we observe an increase in the likelihood of receiving a modified audit opinion for business RPT firms post-AS18. We conduct a series of sensitivity tests to ensure these findings are robust to alternative research design choices. Overall, our findings are consistent with extant theory, which posits that auditing standards that are stricter and specify detailed audit procedures reduce vagueness and increase the potential litigation risks for the auditors, which is likely to lead to improvements in audit quality.</w:t>
      </w:r>
      <w:r w:rsidRPr="0011626A">
        <w:rPr>
          <w:lang w:val="en-US"/>
        </w:rPr>
        <w:t>”</w:t>
      </w:r>
      <w:r w:rsidR="00F33C24">
        <w:rPr>
          <w:lang w:val="en-US"/>
        </w:rPr>
        <w:t xml:space="preserve"> </w:t>
      </w:r>
      <w:r w:rsidR="00F33C24" w:rsidRPr="00F33C24">
        <w:t xml:space="preserve">La historia </w:t>
      </w:r>
      <w:r w:rsidR="00544588">
        <w:t xml:space="preserve">de los siglos XX y XXI </w:t>
      </w:r>
      <w:r w:rsidR="00F33C24" w:rsidRPr="00F33C24">
        <w:t>nos m</w:t>
      </w:r>
      <w:r w:rsidR="00F33C24">
        <w:t xml:space="preserve">uestra el trabajo constante de la profesión contable </w:t>
      </w:r>
      <w:r w:rsidR="00F33C24">
        <w:t xml:space="preserve">mejorando las normas de auditoría y, ahora, la totalidad de las normas de aseguramiento. </w:t>
      </w:r>
      <w:r w:rsidR="00544588">
        <w:t>E</w:t>
      </w:r>
      <w:r w:rsidR="00F33C24">
        <w:t>ntre más exigentes son estas normas, menos prácticas erradas se producen en los preparadores de la información.</w:t>
      </w:r>
      <w:r w:rsidR="001242F5">
        <w:t xml:space="preserve"> La norma sobre la que se ocupa el artículo en comento fue expedida por el PCAOB en 2014.</w:t>
      </w:r>
      <w:r w:rsidR="00277A3F">
        <w:t xml:space="preserve"> </w:t>
      </w:r>
      <w:hyperlink r:id="rId11" w:history="1">
        <w:proofErr w:type="spellStart"/>
        <w:r w:rsidR="00277A3F" w:rsidRPr="00277A3F">
          <w:rPr>
            <w:rStyle w:val="Hipervnculo"/>
            <w:lang w:val="en-US"/>
          </w:rPr>
          <w:t>Corroborando</w:t>
        </w:r>
        <w:proofErr w:type="spellEnd"/>
        <w:r w:rsidR="00277A3F" w:rsidRPr="00277A3F">
          <w:rPr>
            <w:rStyle w:val="Hipervnculo"/>
            <w:lang w:val="en-US"/>
          </w:rPr>
          <w:t xml:space="preserve"> lo </w:t>
        </w:r>
        <w:proofErr w:type="spellStart"/>
        <w:r w:rsidR="00277A3F" w:rsidRPr="00277A3F">
          <w:rPr>
            <w:rStyle w:val="Hipervnculo"/>
            <w:lang w:val="en-US"/>
          </w:rPr>
          <w:t>dicho</w:t>
        </w:r>
        <w:proofErr w:type="spellEnd"/>
      </w:hyperlink>
      <w:r w:rsidR="00277A3F" w:rsidRPr="00277A3F">
        <w:rPr>
          <w:lang w:val="en-US"/>
        </w:rPr>
        <w:t xml:space="preserve"> </w:t>
      </w:r>
      <w:proofErr w:type="spellStart"/>
      <w:r w:rsidR="00277A3F" w:rsidRPr="00277A3F">
        <w:rPr>
          <w:lang w:val="en-US"/>
        </w:rPr>
        <w:t>adviértase</w:t>
      </w:r>
      <w:proofErr w:type="spellEnd"/>
      <w:r w:rsidR="00277A3F" w:rsidRPr="00277A3F">
        <w:rPr>
          <w:lang w:val="en-US"/>
        </w:rPr>
        <w:t xml:space="preserve"> </w:t>
      </w:r>
      <w:proofErr w:type="gramStart"/>
      <w:r w:rsidR="00277A3F" w:rsidRPr="00277A3F">
        <w:rPr>
          <w:lang w:val="en-US"/>
        </w:rPr>
        <w:t>que ”</w:t>
      </w:r>
      <w:r w:rsidR="00277A3F" w:rsidRPr="00277A3F">
        <w:rPr>
          <w:i/>
          <w:iCs/>
          <w:lang w:val="en-US"/>
        </w:rPr>
        <w:t>AS</w:t>
      </w:r>
      <w:proofErr w:type="gramEnd"/>
      <w:r w:rsidR="00277A3F" w:rsidRPr="00277A3F">
        <w:rPr>
          <w:i/>
          <w:iCs/>
          <w:lang w:val="en-US"/>
        </w:rPr>
        <w:t xml:space="preserve"> 2410: Related Parties Amendments to paragraphs .03, .09, and .16 and the subheading before paragraph .08 have been adopted by the PCAOB and approved by the U.S. Securities and Exchange Commission. The standard as amended will be effective for audits of financial statements for fiscal years ending on or after December 15, 2024.</w:t>
      </w:r>
      <w:r w:rsidR="00277A3F">
        <w:rPr>
          <w:lang w:val="en-US"/>
        </w:rPr>
        <w:t xml:space="preserve">”. </w:t>
      </w:r>
      <w:r w:rsidR="00277A3F" w:rsidRPr="00277A3F">
        <w:t>Las operaciones con partes relacionadas han estado bajo observación de l</w:t>
      </w:r>
      <w:r w:rsidR="00277A3F">
        <w:t>os estándares internacionales de información financiera y de los estándares internacionales de aseguramiento de información desde hace tiempo, debido a la propensión de los controlantes de realizar operaciones acomodadas con dichas partes, logrando otorgar beneficios mayores a los del mercado o desplazar la utilidad a jurisdicciones menos reguladas o con menos carga tributaria</w:t>
      </w:r>
      <w:r w:rsidR="00C43802">
        <w:t xml:space="preserve">. </w:t>
      </w:r>
      <w:r w:rsidR="00544588">
        <w:t xml:space="preserve">De acuerdo con la NIC 24: </w:t>
      </w:r>
      <w:r w:rsidR="00544588" w:rsidRPr="00544588">
        <w:rPr>
          <w:i/>
          <w:iCs/>
        </w:rPr>
        <w:t>9 (…) (a) Una persona, o un familiar cercano a esa persona, está relacionada con una entidad que informa si esa persona: (i) ejerce control o control conjunto sobre la entidad que informa; (</w:t>
      </w:r>
      <w:proofErr w:type="spellStart"/>
      <w:r w:rsidR="00544588" w:rsidRPr="00544588">
        <w:rPr>
          <w:i/>
          <w:iCs/>
        </w:rPr>
        <w:t>ii</w:t>
      </w:r>
      <w:proofErr w:type="spellEnd"/>
      <w:r w:rsidR="00544588" w:rsidRPr="00544588">
        <w:rPr>
          <w:i/>
          <w:iCs/>
        </w:rPr>
        <w:t>) ejerce influencia significativa sobre la entidad que informa; o (</w:t>
      </w:r>
      <w:proofErr w:type="spellStart"/>
      <w:r w:rsidR="00544588" w:rsidRPr="00544588">
        <w:rPr>
          <w:i/>
          <w:iCs/>
        </w:rPr>
        <w:t>iii</w:t>
      </w:r>
      <w:proofErr w:type="spellEnd"/>
      <w:r w:rsidR="00544588" w:rsidRPr="00544588">
        <w:rPr>
          <w:i/>
          <w:iCs/>
        </w:rPr>
        <w:t>) es miembro del personal clave de la gerencia de la entidad que informa o de una controladora de la entidad que informa.</w:t>
      </w:r>
    </w:p>
    <w:p w14:paraId="0319A19B" w14:textId="3101C390" w:rsidR="00544588" w:rsidRPr="00277A3F" w:rsidRDefault="00544588" w:rsidP="00544588">
      <w:pPr>
        <w:jc w:val="right"/>
      </w:pPr>
      <w:r w:rsidRPr="003C4ED4">
        <w:rPr>
          <w:i/>
          <w:iCs/>
        </w:rPr>
        <w:t>Hernando Bermúdez Gómez</w:t>
      </w:r>
    </w:p>
    <w:sectPr w:rsidR="00544588" w:rsidRPr="00277A3F" w:rsidSect="00A574F8">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67622" w14:textId="77777777" w:rsidR="00A574F8" w:rsidRDefault="00A574F8" w:rsidP="00EE7812">
      <w:pPr>
        <w:spacing w:after="0" w:line="240" w:lineRule="auto"/>
      </w:pPr>
      <w:r>
        <w:separator/>
      </w:r>
    </w:p>
  </w:endnote>
  <w:endnote w:type="continuationSeparator" w:id="0">
    <w:p w14:paraId="695F3B36" w14:textId="77777777" w:rsidR="00A574F8" w:rsidRDefault="00A574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B4E3651" w:rsidR="0000261B" w:rsidRDefault="0000261B" w:rsidP="009E770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27D85" w14:textId="77777777" w:rsidR="00A574F8" w:rsidRDefault="00A574F8" w:rsidP="00EE7812">
      <w:pPr>
        <w:spacing w:after="0" w:line="240" w:lineRule="auto"/>
      </w:pPr>
      <w:r>
        <w:separator/>
      </w:r>
    </w:p>
  </w:footnote>
  <w:footnote w:type="continuationSeparator" w:id="0">
    <w:p w14:paraId="544B1766" w14:textId="77777777" w:rsidR="00A574F8" w:rsidRDefault="00A574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2933" w14:textId="77777777" w:rsidR="004A7C81"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38270D4" w14:textId="77777777" w:rsidR="004A7C81"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62BC002"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1D57B9">
      <w:t>9</w:t>
    </w:r>
    <w:r w:rsidR="0038064E">
      <w:t>3</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4A7C81">
      <w:t xml:space="preserve"> </w:t>
    </w:r>
  </w:p>
  <w:p w14:paraId="6367BF56" w14:textId="77777777" w:rsidR="004A7C81" w:rsidRDefault="004A7C81"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6F"/>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2D"/>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4F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caobus.org/oversight/standards/auditing-standards/details/AS24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2024-04-21T15:02:00Z</dcterms:created>
  <dcterms:modified xsi:type="dcterms:W3CDTF">2024-04-21T15:02:00Z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