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3173" w14:textId="67B742DC" w:rsidR="005874F2" w:rsidRPr="005874F2" w:rsidRDefault="005874F2" w:rsidP="005874F2">
      <w:pPr>
        <w:keepNext/>
        <w:framePr w:dropCap="drop" w:lines="3" w:wrap="around" w:vAnchor="text" w:hAnchor="text"/>
        <w:spacing w:after="0" w:line="926" w:lineRule="exact"/>
        <w:textAlignment w:val="baseline"/>
        <w:rPr>
          <w:position w:val="-9"/>
          <w:sz w:val="123"/>
        </w:rPr>
      </w:pPr>
      <w:r w:rsidRPr="005874F2">
        <w:rPr>
          <w:position w:val="-9"/>
          <w:sz w:val="123"/>
        </w:rPr>
        <w:t>E</w:t>
      </w:r>
    </w:p>
    <w:p w14:paraId="777C0D39" w14:textId="5D70921A" w:rsidR="00302470" w:rsidRDefault="005874F2" w:rsidP="005874F2">
      <w:r w:rsidRPr="000E17BF">
        <w:rPr>
          <w:lang w:val="en-US"/>
        </w:rPr>
        <w:t xml:space="preserve">n </w:t>
      </w:r>
      <w:r w:rsidRPr="000E17BF">
        <w:rPr>
          <w:i/>
          <w:iCs/>
          <w:lang w:val="en-US"/>
        </w:rPr>
        <w:t>Contemporary Accounting Research</w:t>
      </w:r>
      <w:r w:rsidRPr="000E17BF">
        <w:rPr>
          <w:lang w:val="en-US"/>
        </w:rPr>
        <w:t xml:space="preserve">, Volume41, Issue1, Spring 2024, Pages 292-323, aparece el artículo </w:t>
      </w:r>
      <w:hyperlink r:id="rId11" w:history="1">
        <w:r w:rsidRPr="000E17BF">
          <w:rPr>
            <w:rStyle w:val="Hipervnculo"/>
            <w:i/>
            <w:iCs/>
            <w:lang w:val="en-US"/>
          </w:rPr>
          <w:t>Trust, distrust, and open-book accounting in three client-vendor relationships</w:t>
        </w:r>
      </w:hyperlink>
      <w:r w:rsidRPr="000E17BF">
        <w:rPr>
          <w:lang w:val="en-US"/>
        </w:rPr>
        <w:t>, escrito por Henrik Agndal &amp;, Ulf Nilsson, al que se acompaña el siguiente resumen: “</w:t>
      </w:r>
      <w:r w:rsidRPr="000E17BF">
        <w:rPr>
          <w:i/>
          <w:iCs/>
          <w:lang w:val="en-US"/>
        </w:rPr>
        <w:t xml:space="preserve">Extant management accounting research has conceptualized the interplay between trust, distrust, and open-book accounting (OBA) as a relationship-level phenomenon, largely ignoring that inter-organizational relationships are often complex entities that comprise multiple arenas of exchange where (dis)trust and OBA can interact in different—and potentially contradictory—ways. To address this theoretical oversight, we draw on relational exchange theory to propose that (dis)trust largely forms within OBA domains where different forms of data are exchanged for different purposes. Trust and distrust may thereby coexist within a relationship. We also propose that (dis)trust spills over to influence the conditions for OBA in other domains. Consequently, trust and distrust not only take shape in cumulative processes within OBA domains but also diffuse between domains in a relationship. Empirical observations from a longitudinal case study of a retail buyer's attempts to introduce OBA in three vendor relationships lead us to suggest that competence-trust spillover is determined largely by domain similarity, while goodwill-trust spillover relies to a greater extent on staff mobility between OBA domains. Overall, the negative effects of distrust spillover on the implementation of OBA appear greater than the positive effects of trust spillover. Our study shows that, by analyzing the domain-specific nature of trust </w:t>
      </w:r>
      <w:r w:rsidRPr="000E17BF">
        <w:rPr>
          <w:i/>
          <w:iCs/>
          <w:lang w:val="en-US"/>
        </w:rPr>
        <w:t>and distrust, future research can increase our understanding of the relationship between data characteristics and (dis)trust, as well as explain how trust and distrust interact to determine conditions for data exchange between organizations.</w:t>
      </w:r>
      <w:r w:rsidRPr="000E17BF">
        <w:rPr>
          <w:lang w:val="en-US"/>
        </w:rPr>
        <w:t xml:space="preserve">” </w:t>
      </w:r>
      <w:r>
        <w:t xml:space="preserve">Encontramos en </w:t>
      </w:r>
      <w:hyperlink r:id="rId12" w:history="1">
        <w:r w:rsidRPr="005874F2">
          <w:rPr>
            <w:rStyle w:val="Hipervnculo"/>
          </w:rPr>
          <w:t>Wikipedia</w:t>
        </w:r>
      </w:hyperlink>
      <w:r>
        <w:t xml:space="preserve"> la siguiente explicación: “</w:t>
      </w:r>
      <w:r w:rsidRPr="005874F2">
        <w:rPr>
          <w:i/>
          <w:iCs/>
        </w:rPr>
        <w:t>La contabilidad a libro abierto (OBA, por sus siglas en inglés) es una práctica empresarial que abre las cuentas de una organización a algunos o a todos aquellos con intereses en la organización, incluidos sus empleados y sus accionistas (incluidos aquellos cuya participación se gestiona indirectamente, por ejemplo, a través de un fondo mutuo) y la cadena de suministro</w:t>
      </w:r>
      <w:r w:rsidRPr="005874F2">
        <w:rPr>
          <w:i/>
          <w:iCs/>
          <w:vertAlign w:val="superscript"/>
        </w:rPr>
        <w:t>. [1]</w:t>
      </w:r>
      <w:r w:rsidRPr="005874F2">
        <w:rPr>
          <w:i/>
          <w:iCs/>
        </w:rPr>
        <w:t xml:space="preserve"> Esto significa efectivamente a todos los miembros del público. </w:t>
      </w:r>
      <w:r w:rsidRPr="005874F2">
        <w:rPr>
          <w:i/>
          <w:iCs/>
          <w:vertAlign w:val="superscript"/>
        </w:rPr>
        <w:t>[2]</w:t>
      </w:r>
      <w:r w:rsidRPr="005874F2">
        <w:rPr>
          <w:i/>
          <w:iCs/>
        </w:rPr>
        <w:t xml:space="preserve"> ―Dado que casi todos los registros contables se mantienen ahora en formato electrónico, y dado que las computadoras en las que se conservan están conectadas universalmente, debería ser posible que los registros contables sean legibles en todo el mundo. </w:t>
      </w:r>
      <w:r w:rsidRPr="005874F2">
        <w:rPr>
          <w:i/>
          <w:iCs/>
          <w:vertAlign w:val="superscript"/>
        </w:rPr>
        <w:t>[3]</w:t>
      </w:r>
      <w:r w:rsidRPr="005874F2">
        <w:rPr>
          <w:i/>
          <w:iCs/>
        </w:rPr>
        <w:t xml:space="preserve"> ―Se trata de una aspiración: en la actualidad, las organizaciones gestionan sus cuentas en sistemas protegidos por cortafuegos y la divulgación de información financiera por parte de las empresas que cotizan en bolsa está cuidadosamente coreografiada para garantizar que llegue a todos los participantes en el mercado por igual. </w:t>
      </w:r>
      <w:r w:rsidRPr="005874F2">
        <w:rPr>
          <w:i/>
          <w:iCs/>
          <w:vertAlign w:val="superscript"/>
        </w:rPr>
        <w:t>[4]</w:t>
      </w:r>
      <w:r>
        <w:t>”</w:t>
      </w:r>
      <w:r w:rsidR="00601034">
        <w:t xml:space="preserve"> Sobre esta práctica, muy novedosa, los autores estudian la confianza y la desconfianza, concluyendo que se hacen presentes simultáneamente en las relaciones de negocios. ¿Será así con los dictámenes y otros informes sobre los estados financieros?</w:t>
      </w:r>
    </w:p>
    <w:p w14:paraId="616E981F" w14:textId="198978A5" w:rsidR="00601034" w:rsidRPr="00557EC4" w:rsidRDefault="00601034" w:rsidP="00601034">
      <w:pPr>
        <w:jc w:val="right"/>
      </w:pPr>
      <w:r w:rsidRPr="00844BFA">
        <w:rPr>
          <w:i/>
        </w:rPr>
        <w:t>Hernando Bermúdez Gómez</w:t>
      </w:r>
    </w:p>
    <w:sectPr w:rsidR="00601034" w:rsidRPr="00557EC4" w:rsidSect="0029181A">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AAC2" w14:textId="77777777" w:rsidR="0029181A" w:rsidRDefault="0029181A" w:rsidP="00EE7812">
      <w:pPr>
        <w:spacing w:after="0" w:line="240" w:lineRule="auto"/>
      </w:pPr>
      <w:r>
        <w:separator/>
      </w:r>
    </w:p>
  </w:endnote>
  <w:endnote w:type="continuationSeparator" w:id="0">
    <w:p w14:paraId="5B015498" w14:textId="77777777" w:rsidR="0029181A" w:rsidRDefault="002918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84DD36C" w:rsidR="0000261B" w:rsidRDefault="00833E64"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314C" w14:textId="77777777" w:rsidR="0029181A" w:rsidRDefault="0029181A" w:rsidP="00EE7812">
      <w:pPr>
        <w:spacing w:after="0" w:line="240" w:lineRule="auto"/>
      </w:pPr>
      <w:r>
        <w:separator/>
      </w:r>
    </w:p>
  </w:footnote>
  <w:footnote w:type="continuationSeparator" w:id="0">
    <w:p w14:paraId="45D544C6" w14:textId="77777777" w:rsidR="0029181A" w:rsidRDefault="002918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993F" w14:textId="77777777" w:rsidR="00833E64"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429881E" w14:textId="77777777" w:rsidR="00833E64"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6367BF56" w14:textId="22FE919B" w:rsidR="004A7C81" w:rsidRDefault="0000261B" w:rsidP="00613BC8">
    <w:pPr>
      <w:pStyle w:val="Encabezado"/>
      <w:tabs>
        <w:tab w:val="left" w:pos="2580"/>
        <w:tab w:val="left" w:pos="2985"/>
      </w:tabs>
      <w:spacing w:line="276" w:lineRule="auto"/>
      <w:jc w:val="right"/>
    </w:pPr>
    <w:r>
      <w:t>Número</w:t>
    </w:r>
    <w:r w:rsidR="001E23A5">
      <w:t xml:space="preserve"> </w:t>
    </w:r>
    <w:r w:rsidR="00D340A9">
      <w:t>800</w:t>
    </w:r>
    <w:r w:rsidR="0071244F">
      <w:t>2</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25ED866" w14:textId="77777777" w:rsidR="00833E64" w:rsidRDefault="00833E64"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7BF"/>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A"/>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Open-book_account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1911-3846.1291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2889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2024-04-26T23:09:00Z</dcterms:created>
  <dcterms:modified xsi:type="dcterms:W3CDTF">2024-04-26T23:09:00Z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