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39A3B" w14:textId="4E817526" w:rsidR="00BE682F" w:rsidRPr="00BE682F" w:rsidRDefault="00BE682F" w:rsidP="00BE682F">
      <w:pPr>
        <w:keepNext/>
        <w:framePr w:dropCap="drop" w:lines="3" w:wrap="around" w:vAnchor="text" w:hAnchor="text"/>
        <w:spacing w:after="0" w:line="926" w:lineRule="exact"/>
        <w:textAlignment w:val="baseline"/>
        <w:rPr>
          <w:position w:val="-9"/>
          <w:sz w:val="123"/>
          <w:lang w:val="en-US"/>
        </w:rPr>
      </w:pPr>
      <w:r w:rsidRPr="00BE682F">
        <w:rPr>
          <w:position w:val="-9"/>
          <w:sz w:val="123"/>
          <w:lang w:val="en-US"/>
        </w:rPr>
        <w:t>E</w:t>
      </w:r>
    </w:p>
    <w:p w14:paraId="5092BAE0" w14:textId="164FF86A" w:rsidR="00C47067" w:rsidRDefault="00BE682F" w:rsidP="00BE682F">
      <w:r>
        <w:rPr>
          <w:lang w:val="en-US"/>
        </w:rPr>
        <w:t xml:space="preserve">n el artículo </w:t>
      </w:r>
      <w:hyperlink r:id="rId11" w:history="1">
        <w:r w:rsidRPr="00BE682F">
          <w:rPr>
            <w:rStyle w:val="Hipervnculo"/>
            <w:i/>
            <w:iCs/>
            <w:lang w:val="en-US"/>
          </w:rPr>
          <w:t>İşletmelerin Nakit Akış Profillerinin ve Finansal Performanslarının Karşılaştırılması: BİST Otomotiv Sektöründe Bir Uygulama</w:t>
        </w:r>
      </w:hyperlink>
      <w:r>
        <w:rPr>
          <w:i/>
          <w:iCs/>
          <w:lang w:val="en-US"/>
        </w:rPr>
        <w:t xml:space="preserve">, </w:t>
      </w:r>
      <w:r>
        <w:rPr>
          <w:lang w:val="en-US"/>
        </w:rPr>
        <w:t xml:space="preserve">escrito por </w:t>
      </w:r>
      <w:r w:rsidRPr="00BE682F">
        <w:rPr>
          <w:lang w:val="en-US"/>
        </w:rPr>
        <w:t>Paksoy, Ömer Burak</w:t>
      </w:r>
      <w:r>
        <w:rPr>
          <w:lang w:val="en-US"/>
        </w:rPr>
        <w:t>, publicado</w:t>
      </w:r>
      <w:r w:rsidRPr="00BE682F">
        <w:rPr>
          <w:lang w:val="en-US"/>
        </w:rPr>
        <w:t xml:space="preserve">  </w:t>
      </w:r>
      <w:r w:rsidRPr="00BE682F">
        <w:rPr>
          <w:i/>
          <w:iCs/>
          <w:lang w:val="en-US"/>
        </w:rPr>
        <w:t>Muhasebe ve Finansman Dergisi</w:t>
      </w:r>
      <w:r w:rsidRPr="00BE682F">
        <w:rPr>
          <w:lang w:val="en-US"/>
        </w:rPr>
        <w:t>; Istanbul N.º 102, (2024): 57-78</w:t>
      </w:r>
      <w:r>
        <w:rPr>
          <w:lang w:val="en-US"/>
        </w:rPr>
        <w:t>, se lee:</w:t>
      </w:r>
      <w:r w:rsidRPr="00BE682F">
        <w:rPr>
          <w:lang w:val="en-US"/>
        </w:rPr>
        <w:t xml:space="preserve"> “</w:t>
      </w:r>
      <w:r w:rsidRPr="00BE682F">
        <w:rPr>
          <w:i/>
          <w:iCs/>
          <w:lang w:val="en-US"/>
        </w:rPr>
        <w:t xml:space="preserve">İşletmelerin nakit akış profilleri çıkarıldıktan sonra finansal performans değerlemesi için seçilen toplam on bir adet finansal göstergeye göre 2017-2022 yılları itibariyle performans skorları belirlenmiştir. Şirketlerin finansal performanslarını karşılaştırırken, bazıları kârlılık ve likidite oranlarıyla, bazıları ise mali yapı ve borsa performans oranlarıyla ön plana çıkabilmektedir. Bu karşılaştırmalar sonucunda, bazı şirketlerin diğerlerine göre daha iyi veya daha kötü performans sergilediği gözlemlenmektedir. Ayrıca, analiz edilen şirketlerin ölçekleri de önem arz etmektedir. Örneğin, büyük ölçekli bir şirketin öz kaynakları veya toplam varlıkları küçük ölçekli bir şirkete kıyasla daha yüksek olabilmekte ve bu da oran analizinde değerlerin göreceli olarak düşük görünmesine neden olabilmektedir. ―Araştırmadan elde edilen bulgulara göre otomotiv sektöründe faaliyet gösteren işletmelerin birçoğunun ilgili dönemlerde nakit akış profilleri açısından başarılı ve büyüyen işletme statüsünde oldukları ve bu işletmelerin finansal performans skorlarının da yine en iyi veya üst sıralarda olması dikkat çekmektedir. Profil 2 ve Profil 4’e sahip işletmeler genellikle kârlılık ve finansal performans açısından başarılı sayılabilirler. Bu işletmeler genellikle güçlü bir finansal temele, yeterli çalışma sermayesine ve etkili bir borç ödeme gücüne sahip olabilmektedirler. Ayrıca, nakit akışlarını etkili bir şekilde yönetme ve </w:t>
      </w:r>
      <w:r w:rsidRPr="00BE682F">
        <w:rPr>
          <w:i/>
          <w:iCs/>
          <w:lang w:val="en-US"/>
        </w:rPr>
        <w:t xml:space="preserve">başarılarını sürdürebilmek için etkili stratejik planlama ve rekabet avantajı sağlama gibi kabiliyetleri bulunabilmektedir. ―Çalışma sonuçlarına göre, özellikle pandeminin bazı şirketlerin sıralamalarını önemli ölçüde etkileyebileceği de gözlemlenmiştir. Pandemi döneminin birçok şirket üzerinde olumsuz bir etki bıraktığı açık bir şekilde görülmektedir. Yapılan analiz, OTKAR ve TTRAK şirketlerinin pandemi döneminde finansal performans açısından önemli bir iyileşme gösterdiklerini ortaya koymaktadır. Bu durumun en önemli nedenlerinden birisi, söz konusu şirketlerin sadece otomotiv üreticisi olmamaları, aynı zamanda diğer yan faaliyet alanlarında da bulunmalarının etkili olabileceği düşünülmektedir. </w:t>
      </w:r>
      <w:r w:rsidRPr="00BE682F">
        <w:rPr>
          <w:i/>
          <w:iCs/>
        </w:rPr>
        <w:t>Öte yandan, TOASO şirketinin finansal performansının ise pandemi sürecinden en çok etkilendiği söylenebilir.</w:t>
      </w:r>
      <w:r>
        <w:t xml:space="preserve">” </w:t>
      </w:r>
      <w:r w:rsidR="0012551E">
        <w:t>El artículo confirma la idea según la cual las empresas con buenos resultados tienen también adecuados flujos de efectivo. Una de las maravillas de la contabilidad financiera es que todo tiene que ver con todo. Esta construcción de semejante conjunto realmente es excepcional. El reto ahora consiste en saber si al incluir en los reportes empresariales información no financiera, como la inspirada por la teoría de la sostenibilidad, ese conjunto se mantendrá y si seguirá funcionando como hasta ahora. Algún día Colombia podrá tener un banco de datos que nos permita hacer reflexiones parecidas para establecer si aquí nos comportamos como en otras partes. Mientras tanto seguiremos actuando miopemente (el que solo ve cerca)</w:t>
      </w:r>
    </w:p>
    <w:p w14:paraId="1D22F153" w14:textId="20BA3BC9" w:rsidR="0012551E" w:rsidRPr="004D752C" w:rsidRDefault="005A6EEB" w:rsidP="005A6EEB">
      <w:pPr>
        <w:jc w:val="right"/>
      </w:pPr>
      <w:r w:rsidRPr="003C4ED4">
        <w:rPr>
          <w:i/>
          <w:iCs/>
        </w:rPr>
        <w:t>Hernando Bermúdez Gómez</w:t>
      </w:r>
    </w:p>
    <w:sectPr w:rsidR="0012551E" w:rsidRPr="004D752C" w:rsidSect="0014561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7A4BC" w14:textId="77777777" w:rsidR="00BC092E" w:rsidRDefault="00BC092E" w:rsidP="00EE7812">
      <w:pPr>
        <w:spacing w:after="0" w:line="240" w:lineRule="auto"/>
      </w:pPr>
      <w:r>
        <w:separator/>
      </w:r>
    </w:p>
  </w:endnote>
  <w:endnote w:type="continuationSeparator" w:id="0">
    <w:p w14:paraId="76757EA6" w14:textId="77777777" w:rsidR="00BC092E" w:rsidRDefault="00BC09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8FEA9" w14:textId="77777777" w:rsidR="00BC092E" w:rsidRDefault="00BC092E" w:rsidP="00EE7812">
      <w:pPr>
        <w:spacing w:after="0" w:line="240" w:lineRule="auto"/>
      </w:pPr>
      <w:r>
        <w:separator/>
      </w:r>
    </w:p>
  </w:footnote>
  <w:footnote w:type="continuationSeparator" w:id="0">
    <w:p w14:paraId="154C3C59" w14:textId="77777777" w:rsidR="00BC092E" w:rsidRDefault="00BC09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326EBBA8"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C95A6F">
      <w:t>9</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19"/>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7D2"/>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2E"/>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0C6"/>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25095\mufad.141196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2024-05-11T21:27:00Z</dcterms:created>
  <dcterms:modified xsi:type="dcterms:W3CDTF">2024-05-11T21:27:00Z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