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E2E5C" w14:textId="75B7A6F0" w:rsidR="00DB3F85" w:rsidRPr="00DB3F85" w:rsidRDefault="00DB3F85" w:rsidP="00DB3F8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DB3F85">
        <w:rPr>
          <w:position w:val="-8"/>
          <w:sz w:val="120"/>
        </w:rPr>
        <w:t>C</w:t>
      </w:r>
    </w:p>
    <w:p w14:paraId="47897F62" w14:textId="1B04EB6E" w:rsidR="00DB3F85" w:rsidRDefault="00DB3F85" w:rsidP="00DB3F85">
      <w:r>
        <w:t>uando el CTCP dice que “</w:t>
      </w:r>
      <w:r w:rsidRPr="00DB3F85">
        <w:rPr>
          <w:i/>
          <w:iCs/>
        </w:rPr>
        <w:t>le recomendamos dirigir su consulta al</w:t>
      </w:r>
      <w:r>
        <w:t xml:space="preserve">” desconoce los artículo 21 y 39 del </w:t>
      </w:r>
      <w:hyperlink r:id="rId11" w:history="1">
        <w:r w:rsidRPr="00DB3F85">
          <w:rPr>
            <w:rStyle w:val="Hipervnculo"/>
          </w:rPr>
          <w:t>Código de Procedimiento Administrativo y de lo Contencioso Administrativo</w:t>
        </w:r>
      </w:hyperlink>
      <w:r>
        <w:t>, en los cuales se lee: “</w:t>
      </w:r>
      <w:r w:rsidRPr="00DB3F85">
        <w:rPr>
          <w:i/>
          <w:iCs/>
        </w:rPr>
        <w:t>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 contarán a partir del día siguiente a la recepción de la Petición por la autoridad competente</w:t>
      </w:r>
      <w:r>
        <w:t>”</w:t>
      </w:r>
      <w:r w:rsidRPr="00DB3F85">
        <w:t xml:space="preserve">.  </w:t>
      </w:r>
      <w:r>
        <w:t>“</w:t>
      </w:r>
      <w:r w:rsidRPr="00DB3F85">
        <w:rPr>
          <w:i/>
          <w:iCs/>
        </w:rPr>
        <w:t>La autoridad que se considere incompetente remitirá la actuación a la que estime competente</w:t>
      </w:r>
      <w:r w:rsidRPr="00DB3F85">
        <w:t>;</w:t>
      </w:r>
      <w:r>
        <w:t xml:space="preserve">”. Ciertamente los requisitos para acceder a un cargo son los que determine el respectivo </w:t>
      </w:r>
      <w:r w:rsidR="00DC2A09">
        <w:t>M</w:t>
      </w:r>
      <w:r w:rsidR="00DC2A09" w:rsidRPr="00DC2A09">
        <w:t>anual de funciones y de requisitos mínimos</w:t>
      </w:r>
      <w:r w:rsidR="00DC2A09">
        <w:t>, que debe ser elaborado por cada entidad y no por el DAFP. Por lo tanto, remitir a éste las preguntas sobre un cargo no supone cumplir la ley porque no resultaría competente. Consecuentemente el CTCP ha debido pedir que se precise la entidad a la que se pretende vincularse.</w:t>
      </w:r>
      <w:r w:rsidR="00C82C65">
        <w:t xml:space="preserve"> Para desgracia de los contables en nuestra legislación existes grandes vacíos en materia de técnicos o tecnólogos contables, cosa que no fue así en el pasado, cuando, sin existir facultades universitarias, ya se otorgaban tales títulos conforme normas legales. </w:t>
      </w:r>
      <w:r w:rsidR="000C4493">
        <w:t xml:space="preserve">Creemos y así lo hemos manifestado, que los profesionales de la contaduría han sido formados y se dedican a las tareas propias de dichos técnicos y tecnólogos, lo que puede explicar, al menos </w:t>
      </w:r>
      <w:r w:rsidR="000C4493">
        <w:t xml:space="preserve">en parte, que les guste la indefinición en la que nos encontramos. </w:t>
      </w:r>
      <w:r w:rsidR="00CC3273">
        <w:t>Esto no quiere decir que en el mundo la profesión no sepa distinguir. Hay muchos documentos al respecto, como el que varias veces hemos aludido</w:t>
      </w:r>
      <w:r w:rsidR="005D1274">
        <w:t>, por ejemplo</w:t>
      </w:r>
      <w:r w:rsidR="00CC3273">
        <w:t xml:space="preserve">: </w:t>
      </w:r>
      <w:hyperlink r:id="rId12" w:history="1">
        <w:r w:rsidR="005D1274" w:rsidRPr="005D1274">
          <w:rPr>
            <w:rStyle w:val="Hipervnculo"/>
          </w:rPr>
          <w:t>An Illustrative Competency Framework for Accounting Technicians</w:t>
        </w:r>
      </w:hyperlink>
      <w:r w:rsidR="005D1274">
        <w:t>.</w:t>
      </w:r>
      <w:r w:rsidR="006A782E">
        <w:t xml:space="preserve"> En dónde más prestigiosos son los técnicos y los tecnólogos es precisamente en donde trabajan apoyando a los profesionales en la contabilidad, es decir, en aquellos lugares en los cuales todos los que realizan actividades contables están integrados por las consecuencias de la unidad.</w:t>
      </w:r>
      <w:r w:rsidR="003278B1">
        <w:t xml:space="preserve"> Por otra parte, </w:t>
      </w:r>
      <w:r w:rsidR="00B74D82">
        <w:t>también nos hemos remitido a la taxonomía de Bloom, afirmando la urgencia que tenemos en el país de contadores profesionales que sean muy competentes en hacer análisis, evaluaciones e innovaciones.</w:t>
      </w:r>
      <w:r w:rsidR="00815DD8">
        <w:t xml:space="preserve"> Para ello necesitamos que a los que les toca y están preparados (o debieran estarlo) para ello se preocupen por las etapas de recordación, comprensión y aplicación.</w:t>
      </w:r>
      <w:r w:rsidR="003473CC">
        <w:t xml:space="preserve"> Todo ello sin olvidar que, en Colombia, a buena hora, se dispuso que “</w:t>
      </w:r>
      <w:r w:rsidR="003473CC" w:rsidRPr="003473CC">
        <w:rPr>
          <w:i/>
          <w:iCs/>
        </w:rPr>
        <w:t>La teneduría de libros podrá ejercerse libremente</w:t>
      </w:r>
      <w:r w:rsidR="003473CC">
        <w:t xml:space="preserve">”. A lo que corresponde que la </w:t>
      </w:r>
      <w:hyperlink r:id="rId13" w:history="1">
        <w:r w:rsidR="003473CC" w:rsidRPr="003473CC">
          <w:rPr>
            <w:rStyle w:val="Hipervnculo"/>
          </w:rPr>
          <w:t>Ley 43 de 1990</w:t>
        </w:r>
      </w:hyperlink>
      <w:r w:rsidR="003473CC">
        <w:t xml:space="preserve"> exceptúa a algunas empresas de tener contratado un contador público.</w:t>
      </w:r>
      <w:r w:rsidR="005D3F5B">
        <w:t xml:space="preserve"> Cuando la profesión colombiana verdaderamente se preocupe por el interés público, en lugar de hacer afirmaciones, proclamas y reclamos, hará acciones concretas para mejorar el nivel de vida de la población, que es lo que en todas partes se espera de cada profesión.</w:t>
      </w:r>
      <w:r w:rsidR="00D15BA7">
        <w:t xml:space="preserve"> Si cada uno cuida su alforja es poco probable que la bolsa común sea debidamente incrementada.</w:t>
      </w:r>
    </w:p>
    <w:p w14:paraId="0F4499B2" w14:textId="3E7CD897" w:rsidR="00D15BA7" w:rsidRPr="00DB3F85" w:rsidRDefault="00D15BA7" w:rsidP="00D15BA7">
      <w:pPr>
        <w:jc w:val="right"/>
      </w:pPr>
      <w:r w:rsidRPr="003C4ED4">
        <w:rPr>
          <w:i/>
          <w:iCs/>
        </w:rPr>
        <w:t>Hernando Bermúdez Gómez</w:t>
      </w:r>
    </w:p>
    <w:sectPr w:rsidR="00D15BA7" w:rsidRPr="00DB3F85" w:rsidSect="000D51F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FAD1" w14:textId="77777777" w:rsidR="00AB1E8E" w:rsidRDefault="00AB1E8E" w:rsidP="00EE7812">
      <w:pPr>
        <w:spacing w:after="0" w:line="240" w:lineRule="auto"/>
      </w:pPr>
      <w:r>
        <w:separator/>
      </w:r>
    </w:p>
  </w:endnote>
  <w:endnote w:type="continuationSeparator" w:id="0">
    <w:p w14:paraId="23D0E0BF" w14:textId="77777777" w:rsidR="00AB1E8E" w:rsidRDefault="00AB1E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A04E5" w14:textId="77777777" w:rsidR="00AB1E8E" w:rsidRDefault="00AB1E8E" w:rsidP="00EE7812">
      <w:pPr>
        <w:spacing w:after="0" w:line="240" w:lineRule="auto"/>
      </w:pPr>
      <w:r>
        <w:separator/>
      </w:r>
    </w:p>
  </w:footnote>
  <w:footnote w:type="continuationSeparator" w:id="0">
    <w:p w14:paraId="3222DD7A" w14:textId="77777777" w:rsidR="00AB1E8E" w:rsidRDefault="00AB1E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r>
      <w:t>Computationis</w:t>
    </w:r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61178C73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80</w:t>
    </w:r>
    <w:r w:rsidR="00206741">
      <w:t>80</w:t>
    </w:r>
    <w:r w:rsidR="00117043">
      <w:t>,</w:t>
    </w:r>
    <w:r w:rsidR="0072346F">
      <w:t xml:space="preserve"> </w:t>
    </w:r>
    <w:r w:rsidR="009F7522">
      <w:t>3 de 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0B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0A2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4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28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EB3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A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A6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470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19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EF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AA5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12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0C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9FD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8B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594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3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0F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ADB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42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04F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9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8D0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65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39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3F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CDA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1A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EFD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46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D5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1CC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41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C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6A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79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3A7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30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1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7D3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3A4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4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8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75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EF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3D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CED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91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77A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961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37E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0B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81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6E6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12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0B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4CB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75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DA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2B"/>
    <w:rsid w:val="002F37AE"/>
    <w:rsid w:val="002F3859"/>
    <w:rsid w:val="002F386E"/>
    <w:rsid w:val="002F38BA"/>
    <w:rsid w:val="002F3950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43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9B5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B4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24A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79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1"/>
    <w:rsid w:val="003278B3"/>
    <w:rsid w:val="003278CE"/>
    <w:rsid w:val="0032793F"/>
    <w:rsid w:val="003279B2"/>
    <w:rsid w:val="003279C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3CC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A1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29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6CD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0B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4A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5A2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CB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3FB3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0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090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1A6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1F2F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8F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0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A2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7E0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8C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978"/>
    <w:rsid w:val="00453A70"/>
    <w:rsid w:val="00453A7F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10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EA9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D99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2D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63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00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ED7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19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CC5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0F2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5A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A5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23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2EC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4E3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03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9EB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723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BE6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490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7C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44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865"/>
    <w:rsid w:val="0054695A"/>
    <w:rsid w:val="00546964"/>
    <w:rsid w:val="005469F8"/>
    <w:rsid w:val="00546A0F"/>
    <w:rsid w:val="00546A10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39D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77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ED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5C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62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BA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AF8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253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60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30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AEC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DA"/>
    <w:rsid w:val="005C27FA"/>
    <w:rsid w:val="005C2870"/>
    <w:rsid w:val="005C2983"/>
    <w:rsid w:val="005C2A3E"/>
    <w:rsid w:val="005C2A42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07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74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1F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5B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7D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B6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0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5E5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3F3D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E84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24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1EC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2FE1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BFE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82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3B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681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0D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7B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CB3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10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DC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7B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4"/>
    <w:rsid w:val="006F5A57"/>
    <w:rsid w:val="006F5A72"/>
    <w:rsid w:val="006F5A9E"/>
    <w:rsid w:val="006F5B13"/>
    <w:rsid w:val="006F5B1C"/>
    <w:rsid w:val="006F5C7D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1C9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26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ABD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B0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41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CE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E8D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2DC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0D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4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58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28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D15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0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6B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C4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EA"/>
    <w:rsid w:val="007B284E"/>
    <w:rsid w:val="007B289D"/>
    <w:rsid w:val="007B2916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14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284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99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5D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A5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6E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BFB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C9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BCE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D8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2CB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1FA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1FAE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82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D4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ADF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75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25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625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983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9AB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6B9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C45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3CC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1F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96F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18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6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79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099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D6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E9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BDB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0A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24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8E2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10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2E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B5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03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55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04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62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378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AC1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990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1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22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69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24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8D0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6"/>
    <w:rsid w:val="00A169A7"/>
    <w:rsid w:val="00A16A39"/>
    <w:rsid w:val="00A16A55"/>
    <w:rsid w:val="00A16A69"/>
    <w:rsid w:val="00A16B14"/>
    <w:rsid w:val="00A16B45"/>
    <w:rsid w:val="00A16B70"/>
    <w:rsid w:val="00A16B7F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A2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4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ECC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74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D4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41"/>
    <w:rsid w:val="00A634EA"/>
    <w:rsid w:val="00A634FA"/>
    <w:rsid w:val="00A634FB"/>
    <w:rsid w:val="00A6351E"/>
    <w:rsid w:val="00A6352D"/>
    <w:rsid w:val="00A63548"/>
    <w:rsid w:val="00A6355B"/>
    <w:rsid w:val="00A63638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AE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98C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E8E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D1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5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4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72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45B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29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2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0A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BB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1FFB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8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08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7F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7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E16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80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C7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381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B21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9A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12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8AC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85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9D1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31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5E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63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87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26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1B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68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99"/>
    <w:rsid w:val="00C81BEA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65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69B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20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AB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34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89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C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73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9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0F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700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8ED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1EA4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A7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BE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2B4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89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0CD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5D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7D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AD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EA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5FC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39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B9C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9BA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3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3F85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B3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8C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A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09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2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30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AA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D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55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3EF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24E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1D"/>
    <w:rsid w:val="00E14927"/>
    <w:rsid w:val="00E14935"/>
    <w:rsid w:val="00E14951"/>
    <w:rsid w:val="00E14A14"/>
    <w:rsid w:val="00E14A99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4C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9E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1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3F0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19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6B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A2C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A1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1A0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68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9ED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3D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CEB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B5C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37F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0E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66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CFE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D8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42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1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32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0A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59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46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4A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76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42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5B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2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0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89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0C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3FF"/>
    <w:rsid w:val="00F21405"/>
    <w:rsid w:val="00F2143C"/>
    <w:rsid w:val="00F21465"/>
    <w:rsid w:val="00F2147C"/>
    <w:rsid w:val="00F21489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5D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879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1FD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3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A1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0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6D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35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7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22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94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6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D7B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E48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51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AD5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64D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in-juriscol.gov.co/viewDocument.asp?ruta=Leyes/159825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hdobe\Dropbox\Mi%20PC%20(LAPTOP-SSPTUC37)\Documents\hbg\borradorescontrapartida\An%20Illustrative%20Competency%20Framework%20for%20Accounting%20Technicia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ruta=Leyes/16801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2024-06-01T21:53:00Z</dcterms:created>
  <dcterms:modified xsi:type="dcterms:W3CDTF">2024-06-01T21:53:00Z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