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E0" w:rsidRPr="00811CE0" w:rsidRDefault="00811CE0" w:rsidP="00811CE0">
      <w:pPr>
        <w:keepNext/>
        <w:framePr w:dropCap="drop" w:lines="3" w:wrap="around" w:vAnchor="text" w:hAnchor="text"/>
        <w:spacing w:after="0" w:line="926" w:lineRule="exact"/>
        <w:textAlignment w:val="baseline"/>
        <w:rPr>
          <w:position w:val="-8"/>
          <w:sz w:val="122"/>
        </w:rPr>
      </w:pPr>
      <w:r w:rsidRPr="00811CE0">
        <w:rPr>
          <w:position w:val="-8"/>
          <w:sz w:val="122"/>
        </w:rPr>
        <w:t>A</w:t>
      </w:r>
    </w:p>
    <w:p w:rsidR="00887A2B" w:rsidRPr="00887A2B" w:rsidRDefault="00887A2B" w:rsidP="00887A2B">
      <w:r w:rsidRPr="00887A2B">
        <w:t>demás del concepto de impracticable</w:t>
      </w:r>
      <w:r w:rsidRPr="00887A2B">
        <w:rPr>
          <w:vertAlign w:val="superscript"/>
        </w:rPr>
        <w:footnoteReference w:id="1"/>
      </w:r>
      <w:r w:rsidRPr="00887A2B">
        <w:t xml:space="preserve"> la NIIF para pymes incorpora el concepto de Costo o esfuerzo excesivo.</w:t>
      </w:r>
      <w:r w:rsidR="00811CE0">
        <w:t xml:space="preserve"> </w:t>
      </w:r>
      <w:r w:rsidRPr="00887A2B">
        <w:t xml:space="preserve">En muchos apartados de esta norma este concepto es </w:t>
      </w:r>
      <w:r w:rsidR="00E44039">
        <w:t>mencionado</w:t>
      </w:r>
      <w:r w:rsidRPr="00887A2B">
        <w:t xml:space="preserve">. </w:t>
      </w:r>
      <w:r w:rsidR="00E44039">
        <w:t>La</w:t>
      </w:r>
      <w:r w:rsidRPr="00887A2B">
        <w:t xml:space="preserve"> siguiente </w:t>
      </w:r>
      <w:r w:rsidR="00E44039">
        <w:t xml:space="preserve">lista </w:t>
      </w:r>
      <w:r w:rsidRPr="00887A2B">
        <w:t>present</w:t>
      </w:r>
      <w:r w:rsidR="00E44039">
        <w:t>a los párrafos de la NIIF para P</w:t>
      </w:r>
      <w:r w:rsidRPr="00887A2B">
        <w:t>ymes modificada</w:t>
      </w:r>
      <w:r w:rsidRPr="00887A2B">
        <w:rPr>
          <w:vertAlign w:val="superscript"/>
        </w:rPr>
        <w:footnoteReference w:id="2"/>
      </w:r>
      <w:r w:rsidRPr="00887A2B">
        <w:t xml:space="preserve"> que contiene referencias al tema:</w:t>
      </w:r>
    </w:p>
    <w:p w:rsidR="003E3CC1" w:rsidRPr="00887A2B" w:rsidRDefault="003E3CC1" w:rsidP="003E3CC1">
      <w:pPr>
        <w:pStyle w:val="NoSpacing"/>
      </w:pPr>
      <w:r w:rsidRPr="003E3CC1">
        <w:rPr>
          <w:b/>
        </w:rPr>
        <w:t>Conceptos y principios fundamentales</w:t>
      </w:r>
      <w:r w:rsidRPr="00887A2B">
        <w:t>; p. 2.14</w:t>
      </w:r>
      <w:r w:rsidR="00E44039">
        <w:t>a</w:t>
      </w:r>
      <w:r w:rsidRPr="00887A2B">
        <w:t xml:space="preserve"> a 2.14 c</w:t>
      </w:r>
    </w:p>
    <w:p w:rsidR="003E3CC1" w:rsidRPr="00887A2B" w:rsidRDefault="003E3CC1" w:rsidP="003E3CC1">
      <w:pPr>
        <w:pStyle w:val="NoSpacing"/>
      </w:pPr>
      <w:r w:rsidRPr="003E3CC1">
        <w:rPr>
          <w:b/>
        </w:rPr>
        <w:t>Instrumentos Financieros</w:t>
      </w:r>
      <w:r w:rsidRPr="00887A2B">
        <w:t>; p. 2.47; 11.4; 11.14ci; 11.27; 11.32; 11.44; 12.8b; 12.9;</w:t>
      </w:r>
    </w:p>
    <w:p w:rsidR="003E3CC1" w:rsidRPr="00887A2B" w:rsidRDefault="003E3CC1" w:rsidP="003E3CC1">
      <w:pPr>
        <w:pStyle w:val="NoSpacing"/>
      </w:pPr>
      <w:r w:rsidRPr="003E3CC1">
        <w:rPr>
          <w:b/>
        </w:rPr>
        <w:t>Inversiones en Asociadas</w:t>
      </w:r>
      <w:r w:rsidRPr="00887A2B">
        <w:t>; p. 14.10</w:t>
      </w:r>
    </w:p>
    <w:p w:rsidR="003E3CC1" w:rsidRPr="00887A2B" w:rsidRDefault="003E3CC1" w:rsidP="003E3CC1">
      <w:pPr>
        <w:pStyle w:val="NoSpacing"/>
      </w:pPr>
      <w:r w:rsidRPr="003E3CC1">
        <w:rPr>
          <w:b/>
        </w:rPr>
        <w:t>Participaciones en Negocios Conjuntos</w:t>
      </w:r>
      <w:r w:rsidRPr="00887A2B">
        <w:t>; p. 15.15</w:t>
      </w:r>
    </w:p>
    <w:p w:rsidR="003E3CC1" w:rsidRPr="00887A2B" w:rsidRDefault="003E3CC1" w:rsidP="003E3CC1">
      <w:pPr>
        <w:pStyle w:val="NoSpacing"/>
      </w:pPr>
      <w:r w:rsidRPr="003E3CC1">
        <w:rPr>
          <w:b/>
        </w:rPr>
        <w:t>Propiedades de Inversión</w:t>
      </w:r>
      <w:r w:rsidRPr="00887A2B">
        <w:t xml:space="preserve">; p. 16.1; 16.3; 16.4; 16.7; 16.8; </w:t>
      </w:r>
      <w:proofErr w:type="gramStart"/>
      <w:r w:rsidRPr="00887A2B">
        <w:t>16.10e(</w:t>
      </w:r>
      <w:proofErr w:type="gramEnd"/>
      <w:r w:rsidRPr="00887A2B">
        <w:t>iii);</w:t>
      </w:r>
      <w:r w:rsidR="00811CE0">
        <w:t xml:space="preserve"> </w:t>
      </w:r>
    </w:p>
    <w:p w:rsidR="003E3CC1" w:rsidRPr="00887A2B" w:rsidRDefault="003E3CC1" w:rsidP="003E3CC1">
      <w:pPr>
        <w:pStyle w:val="NoSpacing"/>
      </w:pPr>
      <w:r w:rsidRPr="003E3CC1">
        <w:rPr>
          <w:b/>
        </w:rPr>
        <w:t>Propiedades, Planta y Equipo</w:t>
      </w:r>
      <w:r w:rsidRPr="00887A2B">
        <w:t>; p. 17.1</w:t>
      </w:r>
    </w:p>
    <w:p w:rsidR="003E3CC1" w:rsidRPr="00887A2B" w:rsidRDefault="003E3CC1" w:rsidP="003E3CC1">
      <w:pPr>
        <w:pStyle w:val="NoSpacing"/>
      </w:pPr>
      <w:r w:rsidRPr="003E3CC1">
        <w:rPr>
          <w:b/>
        </w:rPr>
        <w:t xml:space="preserve">Activos intangibles distintos del </w:t>
      </w:r>
      <w:proofErr w:type="spellStart"/>
      <w:r w:rsidRPr="003E3CC1">
        <w:rPr>
          <w:b/>
        </w:rPr>
        <w:t>Goodwill</w:t>
      </w:r>
      <w:proofErr w:type="spellEnd"/>
      <w:r w:rsidRPr="00887A2B">
        <w:t>; p. 18.8</w:t>
      </w:r>
    </w:p>
    <w:p w:rsidR="003E3CC1" w:rsidRPr="00887A2B" w:rsidRDefault="003E3CC1" w:rsidP="003E3CC1">
      <w:pPr>
        <w:pStyle w:val="NoSpacing"/>
      </w:pPr>
      <w:r w:rsidRPr="003E3CC1">
        <w:rPr>
          <w:b/>
        </w:rPr>
        <w:t>Combinaciones de negocios</w:t>
      </w:r>
      <w:r w:rsidRPr="00887A2B">
        <w:t>; p. 19.15c;</w:t>
      </w:r>
    </w:p>
    <w:p w:rsidR="003E3CC1" w:rsidRPr="00887A2B" w:rsidRDefault="003E3CC1" w:rsidP="003E3CC1">
      <w:pPr>
        <w:pStyle w:val="NoSpacing"/>
      </w:pPr>
      <w:r w:rsidRPr="003E3CC1">
        <w:rPr>
          <w:b/>
        </w:rPr>
        <w:t>Provisiones y Contingencias</w:t>
      </w:r>
      <w:r w:rsidRPr="00887A2B">
        <w:t>; p. 21.16.</w:t>
      </w:r>
    </w:p>
    <w:p w:rsidR="003E3CC1" w:rsidRPr="00887A2B" w:rsidRDefault="003E3CC1" w:rsidP="003E3CC1">
      <w:pPr>
        <w:pStyle w:val="NoSpacing"/>
      </w:pPr>
      <w:r w:rsidRPr="003E3CC1">
        <w:rPr>
          <w:b/>
        </w:rPr>
        <w:t>Pasivos y Patrimonio</w:t>
      </w:r>
      <w:r w:rsidRPr="00887A2B">
        <w:t>; p. 22.15a</w:t>
      </w:r>
    </w:p>
    <w:p w:rsidR="003E3CC1" w:rsidRPr="00887A2B" w:rsidRDefault="003E3CC1" w:rsidP="003E3CC1">
      <w:pPr>
        <w:pStyle w:val="NoSpacing"/>
      </w:pPr>
      <w:r w:rsidRPr="003E3CC1">
        <w:rPr>
          <w:b/>
        </w:rPr>
        <w:t>Beneficios de empleados</w:t>
      </w:r>
      <w:r w:rsidRPr="00887A2B">
        <w:t>; p. 28.18; 28.19</w:t>
      </w:r>
    </w:p>
    <w:p w:rsidR="003E3CC1" w:rsidRPr="00887A2B" w:rsidRDefault="003E3CC1" w:rsidP="003E3CC1">
      <w:pPr>
        <w:pStyle w:val="NoSpacing"/>
      </w:pPr>
      <w:r w:rsidRPr="003E3CC1">
        <w:rPr>
          <w:b/>
        </w:rPr>
        <w:t>Impuesto a las Ganancias</w:t>
      </w:r>
      <w:r w:rsidRPr="00887A2B">
        <w:t>; p. 29.29; 35.10</w:t>
      </w:r>
    </w:p>
    <w:p w:rsidR="003E3CC1" w:rsidRDefault="003E3CC1" w:rsidP="003E3CC1">
      <w:pPr>
        <w:pStyle w:val="NoSpacing"/>
      </w:pPr>
      <w:r w:rsidRPr="003E3CC1">
        <w:rPr>
          <w:b/>
        </w:rPr>
        <w:t>Activos Biológicos</w:t>
      </w:r>
      <w:r w:rsidRPr="00887A2B">
        <w:t>; p. 34.2</w:t>
      </w:r>
      <w:r w:rsidR="004A0CD5">
        <w:t>a</w:t>
      </w:r>
      <w:r w:rsidRPr="00887A2B">
        <w:t>; 34.3; 34.6d; 34.8.</w:t>
      </w:r>
    </w:p>
    <w:p w:rsidR="00811CE0" w:rsidRPr="00887A2B" w:rsidRDefault="00811CE0" w:rsidP="003E3CC1">
      <w:pPr>
        <w:pStyle w:val="NoSpacing"/>
      </w:pPr>
    </w:p>
    <w:p w:rsidR="00887A2B" w:rsidRPr="00887A2B" w:rsidRDefault="00887A2B" w:rsidP="00887A2B">
      <w:r w:rsidRPr="00887A2B">
        <w:t>Este concepto, junto con otras si</w:t>
      </w:r>
      <w:r w:rsidR="004A0CD5">
        <w:t>mplificaciones de la NIIF para P</w:t>
      </w:r>
      <w:r w:rsidRPr="00887A2B">
        <w:t>ymes, indica que si la obtención de la información necesaria para cumplir un requerimiento da lugar a un costo incremental o un esfuerzo adicional</w:t>
      </w:r>
      <w:r w:rsidR="00811CE0">
        <w:t xml:space="preserve"> </w:t>
      </w:r>
      <w:r w:rsidRPr="00887A2B">
        <w:t>excesivo, la Pyme quedaría exenta de aplicar ese requerimiento</w:t>
      </w:r>
      <w:r w:rsidRPr="00887A2B">
        <w:rPr>
          <w:vertAlign w:val="superscript"/>
        </w:rPr>
        <w:footnoteReference w:id="3"/>
      </w:r>
      <w:r w:rsidRPr="00887A2B">
        <w:t>.</w:t>
      </w:r>
    </w:p>
    <w:p w:rsidR="00887A2B" w:rsidRPr="00887A2B" w:rsidRDefault="00887A2B" w:rsidP="00887A2B">
      <w:r w:rsidRPr="007E73C8">
        <w:rPr>
          <w:u w:val="single"/>
        </w:rPr>
        <w:lastRenderedPageBreak/>
        <w:t>La evaluación realizada depende de las circunstancias específicas de cada entidad</w:t>
      </w:r>
      <w:r w:rsidR="00811CE0" w:rsidRPr="007E73C8">
        <w:rPr>
          <w:u w:val="single"/>
        </w:rPr>
        <w:t xml:space="preserve"> </w:t>
      </w:r>
      <w:r w:rsidRPr="007E73C8">
        <w:rPr>
          <w:u w:val="single"/>
        </w:rPr>
        <w:t>y del juicio de la gerencia para evaluar los costos y beneficios</w:t>
      </w:r>
      <w:r w:rsidRPr="00887A2B">
        <w:rPr>
          <w:b/>
        </w:rPr>
        <w:t>.</w:t>
      </w:r>
      <w:r w:rsidRPr="00887A2B">
        <w:t xml:space="preserve"> Si el costo o esfuerzo es excesivo se requiere considerar la forma en que pueden verse afectadas las decisiones económicas de los usuarios de los EF. Dicha evaluación deberá efectuarse en la fecha de la transacción o s</w:t>
      </w:r>
      <w:r w:rsidR="007E73C8">
        <w:t>uceso (medición inicial), basada</w:t>
      </w:r>
      <w:r w:rsidRPr="00887A2B">
        <w:t xml:space="preserve"> en la información disponible,</w:t>
      </w:r>
      <w:r w:rsidR="00811CE0">
        <w:t xml:space="preserve"> </w:t>
      </w:r>
      <w:r w:rsidRPr="00887A2B">
        <w:t xml:space="preserve">o en la fecha en que se realicen mediciones posteriores del componente. </w:t>
      </w:r>
    </w:p>
    <w:p w:rsidR="00887A2B" w:rsidRPr="00887A2B" w:rsidRDefault="00887A2B" w:rsidP="00887A2B">
      <w:pPr>
        <w:rPr>
          <w:bCs/>
        </w:rPr>
      </w:pPr>
      <w:r w:rsidRPr="00887A2B">
        <w:rPr>
          <w:bCs/>
        </w:rPr>
        <w:t>Lo anterior demuestra que los usuarios de una entidad sin obligación pública de rendir cuentas son distintos de los de una entidad cotizada o que administra recursos</w:t>
      </w:r>
      <w:r w:rsidR="00811CE0">
        <w:rPr>
          <w:bCs/>
        </w:rPr>
        <w:t xml:space="preserve"> </w:t>
      </w:r>
      <w:r w:rsidRPr="00887A2B">
        <w:rPr>
          <w:bCs/>
        </w:rPr>
        <w:t>de terceros. La importancia del término radica en que el IASB al emitir la norma de Pymes busca el equilibrio entre utilidad de la información</w:t>
      </w:r>
      <w:r w:rsidR="00CC734A">
        <w:rPr>
          <w:bCs/>
        </w:rPr>
        <w:t>,-</w:t>
      </w:r>
      <w:r w:rsidRPr="00887A2B">
        <w:rPr>
          <w:bCs/>
        </w:rPr>
        <w:t xml:space="preserve"> necesidades de los usuarios bajo consideraciones de costo-beneficio</w:t>
      </w:r>
      <w:r w:rsidRPr="00887A2B">
        <w:rPr>
          <w:bCs/>
          <w:vertAlign w:val="superscript"/>
        </w:rPr>
        <w:footnoteReference w:id="4"/>
      </w:r>
      <w:r w:rsidRPr="00887A2B">
        <w:rPr>
          <w:bCs/>
        </w:rPr>
        <w:t>.</w:t>
      </w:r>
    </w:p>
    <w:p w:rsidR="00887A2B" w:rsidRPr="00887A2B" w:rsidRDefault="00887A2B" w:rsidP="00887A2B">
      <w:pPr>
        <w:rPr>
          <w:bCs/>
        </w:rPr>
      </w:pPr>
      <w:r w:rsidRPr="00887A2B">
        <w:rPr>
          <w:bCs/>
        </w:rPr>
        <w:t xml:space="preserve">Dada la importancia de este concepto es conveniente su análisis ya que el mismo no puede ser limitado por las entidades legales, </w:t>
      </w:r>
      <w:r w:rsidR="00CC734A">
        <w:rPr>
          <w:bCs/>
        </w:rPr>
        <w:t>puesto</w:t>
      </w:r>
      <w:r w:rsidRPr="00887A2B">
        <w:rPr>
          <w:bCs/>
        </w:rPr>
        <w:t xml:space="preserve"> que se entraría en contradicción con el objetivo de los estados financieros de una Pyme</w:t>
      </w:r>
      <w:r w:rsidRPr="00887A2B">
        <w:rPr>
          <w:bCs/>
          <w:vertAlign w:val="superscript"/>
        </w:rPr>
        <w:footnoteReference w:id="5"/>
      </w:r>
      <w:r w:rsidRPr="00887A2B">
        <w:rPr>
          <w:bCs/>
        </w:rPr>
        <w:t xml:space="preserve">. </w:t>
      </w:r>
      <w:bookmarkStart w:id="0" w:name="_GoBack"/>
      <w:bookmarkEnd w:id="0"/>
    </w:p>
    <w:p w:rsidR="00887A2B" w:rsidRPr="00811CE0" w:rsidRDefault="00887A2B" w:rsidP="00811CE0">
      <w:pPr>
        <w:jc w:val="right"/>
        <w:rPr>
          <w:bCs/>
          <w:i/>
        </w:rPr>
      </w:pPr>
      <w:r w:rsidRPr="00811CE0">
        <w:rPr>
          <w:bCs/>
          <w:i/>
        </w:rPr>
        <w:t xml:space="preserve">Wilmar Franco </w:t>
      </w:r>
      <w:proofErr w:type="spellStart"/>
      <w:r w:rsidRPr="00811CE0">
        <w:rPr>
          <w:bCs/>
          <w:i/>
        </w:rPr>
        <w:t>Franco</w:t>
      </w:r>
      <w:proofErr w:type="spellEnd"/>
    </w:p>
    <w:sectPr w:rsidR="00887A2B" w:rsidRPr="00811CE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DC" w:rsidRDefault="009475DC" w:rsidP="00EE7812">
      <w:pPr>
        <w:spacing w:after="0" w:line="240" w:lineRule="auto"/>
      </w:pPr>
      <w:r>
        <w:separator/>
      </w:r>
    </w:p>
  </w:endnote>
  <w:endnote w:type="continuationSeparator" w:id="0">
    <w:p w:rsidR="009475DC" w:rsidRDefault="009475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DC" w:rsidRDefault="009475DC" w:rsidP="00EE7812">
      <w:pPr>
        <w:spacing w:after="0" w:line="240" w:lineRule="auto"/>
      </w:pPr>
      <w:r>
        <w:separator/>
      </w:r>
    </w:p>
  </w:footnote>
  <w:footnote w:type="continuationSeparator" w:id="0">
    <w:p w:rsidR="009475DC" w:rsidRDefault="009475DC" w:rsidP="00EE7812">
      <w:pPr>
        <w:spacing w:after="0" w:line="240" w:lineRule="auto"/>
      </w:pPr>
      <w:r>
        <w:continuationSeparator/>
      </w:r>
    </w:p>
  </w:footnote>
  <w:footnote w:id="1">
    <w:p w:rsidR="00887A2B" w:rsidRPr="007A0D13" w:rsidRDefault="00887A2B" w:rsidP="00887A2B">
      <w:pPr>
        <w:pStyle w:val="FootnoteText"/>
        <w:spacing w:after="0" w:line="240" w:lineRule="auto"/>
        <w:rPr>
          <w:sz w:val="16"/>
          <w:szCs w:val="16"/>
        </w:rPr>
      </w:pPr>
      <w:r w:rsidRPr="007A0D13">
        <w:rPr>
          <w:rStyle w:val="FootnoteReference"/>
          <w:sz w:val="16"/>
          <w:szCs w:val="16"/>
        </w:rPr>
        <w:footnoteRef/>
      </w:r>
      <w:r w:rsidRPr="007A0D13">
        <w:rPr>
          <w:sz w:val="16"/>
          <w:szCs w:val="16"/>
        </w:rPr>
        <w:t xml:space="preserve"> Ver p. 3.12; 3.13; 9.16; 9.29; 10.12; 10.13d; 10.14d; 10.22; 14.8f</w:t>
      </w:r>
      <w:r>
        <w:rPr>
          <w:sz w:val="16"/>
          <w:szCs w:val="16"/>
        </w:rPr>
        <w:t>-</w:t>
      </w:r>
      <w:r w:rsidRPr="007A0D13">
        <w:rPr>
          <w:sz w:val="16"/>
          <w:szCs w:val="16"/>
        </w:rPr>
        <w:t>g; 21.15-16; 26.10c; 26.11c; 27.3;</w:t>
      </w:r>
      <w:r w:rsidR="00811CE0">
        <w:rPr>
          <w:sz w:val="16"/>
          <w:szCs w:val="16"/>
        </w:rPr>
        <w:t xml:space="preserve"> </w:t>
      </w:r>
      <w:r w:rsidRPr="007A0D13">
        <w:rPr>
          <w:sz w:val="16"/>
          <w:szCs w:val="16"/>
        </w:rPr>
        <w:t xml:space="preserve">35,11; de </w:t>
      </w:r>
      <w:proofErr w:type="spellStart"/>
      <w:r w:rsidRPr="007A0D13">
        <w:rPr>
          <w:sz w:val="16"/>
          <w:szCs w:val="16"/>
        </w:rPr>
        <w:t>de</w:t>
      </w:r>
      <w:proofErr w:type="spellEnd"/>
      <w:r w:rsidRPr="007A0D13">
        <w:rPr>
          <w:sz w:val="16"/>
          <w:szCs w:val="16"/>
        </w:rPr>
        <w:t xml:space="preserve"> la NIIF para pymes.</w:t>
      </w:r>
    </w:p>
  </w:footnote>
  <w:footnote w:id="2">
    <w:p w:rsidR="00887A2B" w:rsidRPr="007A0D13" w:rsidRDefault="00887A2B" w:rsidP="00887A2B">
      <w:pPr>
        <w:pStyle w:val="FootnoteText"/>
        <w:spacing w:after="0" w:line="240" w:lineRule="auto"/>
        <w:rPr>
          <w:sz w:val="16"/>
          <w:szCs w:val="16"/>
        </w:rPr>
      </w:pPr>
      <w:r w:rsidRPr="007A0D13">
        <w:rPr>
          <w:rStyle w:val="FootnoteReference"/>
          <w:sz w:val="16"/>
          <w:szCs w:val="16"/>
        </w:rPr>
        <w:footnoteRef/>
      </w:r>
      <w:r w:rsidRPr="007A0D13">
        <w:rPr>
          <w:sz w:val="16"/>
          <w:szCs w:val="16"/>
        </w:rPr>
        <w:t xml:space="preserve"> </w:t>
      </w:r>
      <w:r w:rsidRPr="007A0D13">
        <w:rPr>
          <w:sz w:val="16"/>
          <w:szCs w:val="16"/>
        </w:rPr>
        <w:t xml:space="preserve">Ver: </w:t>
      </w:r>
      <w:hyperlink r:id="rId1" w:history="1">
        <w:r w:rsidRPr="007A0D13">
          <w:rPr>
            <w:rStyle w:val="Hyperlink"/>
            <w:sz w:val="16"/>
            <w:szCs w:val="16"/>
          </w:rPr>
          <w:t>http://www.ifrs.org/IFRS-for-SMEs/Documents/Marked-up-draft-IFRS-for-SMEs-October-2013.pdf</w:t>
        </w:r>
      </w:hyperlink>
      <w:r w:rsidRPr="007A0D13">
        <w:rPr>
          <w:sz w:val="16"/>
          <w:szCs w:val="16"/>
        </w:rPr>
        <w:t>.</w:t>
      </w:r>
    </w:p>
  </w:footnote>
  <w:footnote w:id="3">
    <w:p w:rsidR="00887A2B" w:rsidRPr="007A0D13" w:rsidRDefault="00887A2B" w:rsidP="00887A2B">
      <w:pPr>
        <w:pStyle w:val="FootnoteText"/>
        <w:spacing w:after="0" w:line="240" w:lineRule="auto"/>
        <w:rPr>
          <w:sz w:val="16"/>
          <w:szCs w:val="16"/>
        </w:rPr>
      </w:pPr>
      <w:r w:rsidRPr="007A0D13">
        <w:rPr>
          <w:rStyle w:val="FootnoteReference"/>
          <w:sz w:val="16"/>
          <w:szCs w:val="16"/>
        </w:rPr>
        <w:footnoteRef/>
      </w:r>
      <w:r w:rsidRPr="007A0D13">
        <w:rPr>
          <w:sz w:val="16"/>
          <w:szCs w:val="16"/>
        </w:rPr>
        <w:t xml:space="preserve"> </w:t>
      </w:r>
      <w:r w:rsidRPr="007A0D13">
        <w:rPr>
          <w:sz w:val="16"/>
          <w:szCs w:val="16"/>
        </w:rPr>
        <w:t>Ver párrafos 2.14ª a 2.14 c de la NIIF para pymes modificada.</w:t>
      </w:r>
    </w:p>
  </w:footnote>
  <w:footnote w:id="4">
    <w:p w:rsidR="00887A2B" w:rsidRPr="007A0D13" w:rsidRDefault="00887A2B" w:rsidP="00887A2B">
      <w:pPr>
        <w:pStyle w:val="FootnoteText"/>
        <w:spacing w:after="0" w:line="240" w:lineRule="auto"/>
        <w:rPr>
          <w:sz w:val="18"/>
        </w:rPr>
      </w:pPr>
      <w:r w:rsidRPr="007A0D13">
        <w:rPr>
          <w:rStyle w:val="FootnoteReference"/>
          <w:sz w:val="16"/>
          <w:szCs w:val="16"/>
        </w:rPr>
        <w:footnoteRef/>
      </w:r>
      <w:r w:rsidRPr="007A0D13">
        <w:rPr>
          <w:sz w:val="16"/>
          <w:szCs w:val="16"/>
        </w:rPr>
        <w:t xml:space="preserve"> </w:t>
      </w:r>
      <w:r w:rsidRPr="007A0D13">
        <w:rPr>
          <w:sz w:val="16"/>
          <w:szCs w:val="16"/>
        </w:rPr>
        <w:t>Ver párrafos 2.13 a 2.14 de la NIIF para pymes y párrafo CC3;</w:t>
      </w:r>
      <w:r w:rsidR="00811CE0">
        <w:rPr>
          <w:sz w:val="16"/>
          <w:szCs w:val="16"/>
        </w:rPr>
        <w:t xml:space="preserve"> </w:t>
      </w:r>
      <w:r w:rsidRPr="007A0D13">
        <w:rPr>
          <w:sz w:val="16"/>
          <w:szCs w:val="16"/>
        </w:rPr>
        <w:t>CC18; CC35 al CC 38 del Marco Conceptual.</w:t>
      </w:r>
      <w:r>
        <w:t>.</w:t>
      </w:r>
    </w:p>
  </w:footnote>
  <w:footnote w:id="5">
    <w:p w:rsidR="00887A2B" w:rsidRDefault="00887A2B" w:rsidP="00887A2B">
      <w:pPr>
        <w:pStyle w:val="FootnoteText"/>
        <w:spacing w:after="0" w:line="240" w:lineRule="auto"/>
      </w:pPr>
      <w:r w:rsidRPr="007A0D13">
        <w:rPr>
          <w:rStyle w:val="FootnoteReference"/>
          <w:sz w:val="18"/>
        </w:rPr>
        <w:footnoteRef/>
      </w:r>
      <w:r w:rsidRPr="007A0D13">
        <w:rPr>
          <w:sz w:val="18"/>
        </w:rPr>
        <w:t xml:space="preserve"> </w:t>
      </w:r>
      <w:r w:rsidRPr="007A0D13">
        <w:rPr>
          <w:sz w:val="18"/>
        </w:rPr>
        <w:t>Ver párrafos 2.2 y 2.3 de la NIIF para pymes.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887A2B">
      <w:t>15</w:t>
    </w:r>
    <w:r w:rsidR="00667D4D">
      <w:t>,</w:t>
    </w:r>
    <w:r w:rsidR="009D09BB">
      <w:t xml:space="preserve"> </w:t>
    </w:r>
    <w:r w:rsidR="00387D7E">
      <w:t>noviembre 18</w:t>
    </w:r>
    <w:r w:rsidR="0005771D">
      <w:t xml:space="preserve"> </w:t>
    </w:r>
    <w:r w:rsidR="0080786C">
      <w:t>de 201</w:t>
    </w:r>
    <w:r w:rsidR="00EB30A7">
      <w:t>3</w:t>
    </w:r>
  </w:p>
  <w:p w:rsidR="0046164F" w:rsidRDefault="009475DC"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2D"/>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A2B"/>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5DC"/>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frs.org/IFRS-for-SMEs/Documents/Marked-up-draft-IFRS-for-SMEs-October-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608EC16F-CE3C-4CFF-B316-73CDB722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356</Words>
  <Characters>1962</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2013-11-17T22:56:00Z</dcterms:created>
  <dcterms:modified xsi:type="dcterms:W3CDTF">2013-11-17T23:05:00Z</dcterms:modified>
</cp:coreProperties>
</file>