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D1" w:rsidRPr="008E6DD1" w:rsidRDefault="008E6DD1" w:rsidP="008E6DD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8E6DD1">
        <w:rPr>
          <w:position w:val="-8"/>
          <w:sz w:val="123"/>
        </w:rPr>
        <w:t>T</w:t>
      </w:r>
    </w:p>
    <w:p w:rsidR="008E6DD1" w:rsidRPr="008E6DD1" w:rsidRDefault="008E6DD1" w:rsidP="008E6DD1">
      <w:r w:rsidRPr="008E6DD1">
        <w:t>al como se había previsto, el pasado 3 de octubre el IASB emitió el borrador con los cambios de la NIIF para Pymes. Contrario a lo establecido en el documento de mejoras del año 2012, la nueva norma solo contendrá modificaciones limitadas al marco técnico expedido en el año 2009</w:t>
      </w:r>
      <w:r w:rsidRPr="008E6DD1">
        <w:rPr>
          <w:vertAlign w:val="superscript"/>
        </w:rPr>
        <w:footnoteReference w:id="1"/>
      </w:r>
      <w:r w:rsidRPr="008E6DD1">
        <w:t xml:space="preserve">. </w:t>
      </w:r>
    </w:p>
    <w:p w:rsidR="008E6DD1" w:rsidRPr="008E6DD1" w:rsidRDefault="008E6DD1" w:rsidP="008E6DD1">
      <w:r w:rsidRPr="008E6DD1">
        <w:t>Uno de los aspectos de mayor relevancia es el relacionado con la opción que tiene</w:t>
      </w:r>
      <w:r w:rsidR="009C4C8A">
        <w:t xml:space="preserve"> </w:t>
      </w:r>
      <w:r w:rsidRPr="008E6DD1">
        <w:t xml:space="preserve">una entidad que aplica las NIIF plenas, de aplicar la NIIF para pymes en sus EF separados: </w:t>
      </w:r>
    </w:p>
    <w:p w:rsidR="008E6DD1" w:rsidRPr="008E6DD1" w:rsidRDefault="008E6DD1" w:rsidP="008E6DD1">
      <w:pPr>
        <w:rPr>
          <w:i/>
        </w:rPr>
      </w:pPr>
      <w:r w:rsidRPr="008E6DD1">
        <w:rPr>
          <w:b/>
          <w:i/>
        </w:rPr>
        <w:t xml:space="preserve">“La matriz evaluará si cumple con los requisitos para utilizar la </w:t>
      </w:r>
      <w:r w:rsidRPr="008E6DD1">
        <w:rPr>
          <w:b/>
          <w:i/>
          <w:iCs/>
        </w:rPr>
        <w:t xml:space="preserve">NIIF para las PYMES </w:t>
      </w:r>
      <w:r w:rsidRPr="008E6DD1">
        <w:rPr>
          <w:b/>
          <w:i/>
        </w:rPr>
        <w:t>en sus EF separados sobre la base de su propio estatus sin considerar si otras entidades del grupo tienen, o el grupo tiene como un todo, obligación pública de rendir cuentas.</w:t>
      </w:r>
      <w:r w:rsidRPr="008E6DD1">
        <w:rPr>
          <w:i/>
        </w:rPr>
        <w:t xml:space="preserve"> Si la matriz por sí misma no tiene obligación pública de rendir cuentas, puede presentar sus EF separados de acuerdo con la </w:t>
      </w:r>
      <w:r w:rsidRPr="008E6DD1">
        <w:rPr>
          <w:i/>
          <w:iCs/>
        </w:rPr>
        <w:t>NIIF para las PYMES</w:t>
      </w:r>
      <w:r w:rsidRPr="008E6DD1">
        <w:rPr>
          <w:i/>
        </w:rPr>
        <w:t xml:space="preserve">, </w:t>
      </w:r>
      <w:r w:rsidRPr="008E6DD1">
        <w:rPr>
          <w:b/>
          <w:i/>
        </w:rPr>
        <w:t>incluso si presenta sus EF consolidados de acuerdo con las NIIF plenas u otro conjunto de PCGA, tal como las normas locales</w:t>
      </w:r>
      <w:r w:rsidRPr="008E6DD1">
        <w:rPr>
          <w:i/>
        </w:rPr>
        <w:t>”</w:t>
      </w:r>
      <w:r w:rsidRPr="008E6DD1">
        <w:rPr>
          <w:i/>
          <w:vertAlign w:val="superscript"/>
        </w:rPr>
        <w:footnoteReference w:id="2"/>
      </w:r>
      <w:r w:rsidRPr="008E6DD1">
        <w:rPr>
          <w:i/>
        </w:rPr>
        <w:t>.</w:t>
      </w:r>
    </w:p>
    <w:p w:rsidR="008E6DD1" w:rsidRPr="008E6DD1" w:rsidRDefault="008E6DD1" w:rsidP="008E6DD1">
      <w:r w:rsidRPr="008E6DD1">
        <w:t>Esta opción reconoce que los usuarios de la información financiera de una entidad legal sin obligación pública de rendir cuentas o los usuarios de los EF separados (individuales) tiene necesidades distintas a las establecidas para inversionistas actuales y potenciales, prestamistas y otros acreedores. Distinguir entre los informes financieros preparados para propósitos legales (de control, de impuestos, de distribución de utilidades)</w:t>
      </w:r>
      <w:r w:rsidR="009C4C8A">
        <w:t xml:space="preserve"> </w:t>
      </w:r>
      <w:r w:rsidRPr="008E6DD1">
        <w:t xml:space="preserve">o </w:t>
      </w:r>
      <w:r w:rsidRPr="008E6DD1">
        <w:lastRenderedPageBreak/>
        <w:t>los informes para los administradores que son propietarios, pueden requerir políticas distintas a las requeridas en las NIIF plenas</w:t>
      </w:r>
      <w:r w:rsidRPr="008E6DD1">
        <w:rPr>
          <w:vertAlign w:val="superscript"/>
        </w:rPr>
        <w:footnoteReference w:id="3"/>
      </w:r>
      <w:r w:rsidRPr="008E6DD1">
        <w:t xml:space="preserve">. </w:t>
      </w:r>
    </w:p>
    <w:p w:rsidR="008E6DD1" w:rsidRPr="008E6DD1" w:rsidRDefault="008E6DD1" w:rsidP="008E6DD1">
      <w:r w:rsidRPr="008E6DD1">
        <w:t>Los EF separados preparados por una matriz o los EF de las entidades legales que no tienen obligación pública de rendir cuentas, no representan un área de actividad económica (entidad que informa), por</w:t>
      </w:r>
      <w:r w:rsidR="009C4C8A">
        <w:t xml:space="preserve"> lo que la información preparad</w:t>
      </w:r>
      <w:bookmarkStart w:id="0" w:name="_GoBack"/>
      <w:bookmarkEnd w:id="0"/>
      <w:r w:rsidRPr="008E6DD1">
        <w:t>a para propósitos legales</w:t>
      </w:r>
      <w:r w:rsidR="009C4C8A">
        <w:t xml:space="preserve"> </w:t>
      </w:r>
      <w:r w:rsidRPr="008E6DD1">
        <w:t>podría elaborarse sobre bases distintas. Las simplificaciones que contiene la NIIF para pymes, expresada en menores revelaciones, en el mayor uso del costo como criterio de medición, o en opciones de política, es probable que sean más útiles a la hora de definir las políticas contables basadas en las NIIF</w:t>
      </w:r>
      <w:r w:rsidRPr="008E6DD1">
        <w:rPr>
          <w:vertAlign w:val="superscript"/>
        </w:rPr>
        <w:footnoteReference w:id="4"/>
      </w:r>
      <w:r w:rsidRPr="008E6DD1">
        <w:t>.</w:t>
      </w:r>
      <w:r w:rsidR="009C4C8A">
        <w:t xml:space="preserve"> </w:t>
      </w:r>
    </w:p>
    <w:p w:rsidR="008E6DD1" w:rsidRPr="008E6DD1" w:rsidRDefault="008E6DD1" w:rsidP="008E6DD1">
      <w:r w:rsidRPr="008E6DD1">
        <w:t>Es necesario evaluar bajo consideraciones de costo-beneficio</w:t>
      </w:r>
      <w:r w:rsidRPr="008E6DD1">
        <w:rPr>
          <w:vertAlign w:val="superscript"/>
        </w:rPr>
        <w:footnoteReference w:id="5"/>
      </w:r>
      <w:r w:rsidRPr="008E6DD1">
        <w:t xml:space="preserve"> las normas que imponen la obligación de que entidades no cotizadas o que no captan dinero del público, utilicen las NIIF completas, ya que estas entidades asumirán mayores costos y deberán efectuar conciliaciones para elaborar los informes de propósito especial elaborados por requerimientos legales.</w:t>
      </w:r>
    </w:p>
    <w:p w:rsidR="008E6DD1" w:rsidRPr="008E6DD1" w:rsidRDefault="008E6DD1" w:rsidP="008E6DD1">
      <w:pPr>
        <w:jc w:val="right"/>
        <w:rPr>
          <w:bCs/>
          <w:i/>
        </w:rPr>
      </w:pPr>
      <w:r w:rsidRPr="008E6DD1">
        <w:rPr>
          <w:bCs/>
          <w:i/>
        </w:rPr>
        <w:t xml:space="preserve">Wilmar Franco </w:t>
      </w:r>
      <w:proofErr w:type="spellStart"/>
      <w:r w:rsidRPr="008E6DD1">
        <w:rPr>
          <w:bCs/>
          <w:i/>
        </w:rPr>
        <w:t>Franco</w:t>
      </w:r>
      <w:proofErr w:type="spellEnd"/>
    </w:p>
    <w:sectPr w:rsidR="008E6DD1" w:rsidRPr="008E6DD1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042" w:rsidRDefault="00FE3042" w:rsidP="00EE7812">
      <w:pPr>
        <w:spacing w:after="0" w:line="240" w:lineRule="auto"/>
      </w:pPr>
      <w:r>
        <w:separator/>
      </w:r>
    </w:p>
  </w:endnote>
  <w:endnote w:type="continuationSeparator" w:id="0">
    <w:p w:rsidR="00FE3042" w:rsidRDefault="00FE304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042" w:rsidRDefault="00FE3042" w:rsidP="00EE7812">
      <w:pPr>
        <w:spacing w:after="0" w:line="240" w:lineRule="auto"/>
      </w:pPr>
      <w:r>
        <w:separator/>
      </w:r>
    </w:p>
  </w:footnote>
  <w:footnote w:type="continuationSeparator" w:id="0">
    <w:p w:rsidR="00FE3042" w:rsidRDefault="00FE3042" w:rsidP="00EE7812">
      <w:pPr>
        <w:spacing w:after="0" w:line="240" w:lineRule="auto"/>
      </w:pPr>
      <w:r>
        <w:continuationSeparator/>
      </w:r>
    </w:p>
  </w:footnote>
  <w:footnote w:id="1">
    <w:p w:rsidR="008E6DD1" w:rsidRPr="004113A9" w:rsidRDefault="008E6DD1" w:rsidP="008E6DD1">
      <w:pPr>
        <w:pStyle w:val="FootnoteText"/>
        <w:spacing w:after="0" w:line="240" w:lineRule="auto"/>
        <w:rPr>
          <w:rFonts w:asciiTheme="minorHAnsi" w:hAnsiTheme="minorHAnsi"/>
          <w:sz w:val="16"/>
          <w:szCs w:val="16"/>
        </w:rPr>
      </w:pPr>
      <w:r w:rsidRPr="004113A9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4113A9">
        <w:rPr>
          <w:rFonts w:asciiTheme="minorHAnsi" w:hAnsiTheme="minorHAnsi"/>
          <w:sz w:val="16"/>
          <w:szCs w:val="16"/>
        </w:rPr>
        <w:t xml:space="preserve"> Ver norma modificada en: </w:t>
      </w:r>
      <w:hyperlink r:id="rId1" w:history="1">
        <w:r w:rsidRPr="004113A9">
          <w:rPr>
            <w:rStyle w:val="Hyperlink"/>
            <w:rFonts w:asciiTheme="minorHAnsi" w:hAnsiTheme="minorHAnsi"/>
            <w:sz w:val="16"/>
            <w:szCs w:val="16"/>
          </w:rPr>
          <w:t>http://www.ifrs.org/IFRS-for-SMEs/Documents/Marked-up-draft-IFRS-for-SMEs-October-2013.pdf</w:t>
        </w:r>
      </w:hyperlink>
      <w:r w:rsidRPr="004113A9">
        <w:rPr>
          <w:rFonts w:asciiTheme="minorHAnsi" w:hAnsiTheme="minorHAnsi"/>
          <w:sz w:val="16"/>
          <w:szCs w:val="16"/>
        </w:rPr>
        <w:t>.</w:t>
      </w:r>
    </w:p>
  </w:footnote>
  <w:footnote w:id="2">
    <w:p w:rsidR="008E6DD1" w:rsidRPr="004113A9" w:rsidRDefault="008E6DD1" w:rsidP="008E6DD1">
      <w:pPr>
        <w:pStyle w:val="FootnoteText"/>
        <w:spacing w:after="0" w:line="240" w:lineRule="auto"/>
        <w:rPr>
          <w:rFonts w:asciiTheme="minorHAnsi" w:hAnsiTheme="minorHAnsi"/>
          <w:sz w:val="16"/>
          <w:szCs w:val="16"/>
        </w:rPr>
      </w:pPr>
      <w:r w:rsidRPr="004113A9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4113A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4113A9">
        <w:rPr>
          <w:rFonts w:asciiTheme="minorHAnsi" w:hAnsiTheme="minorHAnsi"/>
          <w:sz w:val="16"/>
          <w:szCs w:val="16"/>
        </w:rPr>
        <w:t>Draft</w:t>
      </w:r>
      <w:proofErr w:type="spellEnd"/>
      <w:r w:rsidRPr="004113A9">
        <w:rPr>
          <w:rFonts w:asciiTheme="minorHAnsi" w:hAnsiTheme="minorHAnsi"/>
          <w:sz w:val="16"/>
          <w:szCs w:val="16"/>
        </w:rPr>
        <w:t xml:space="preserve"> IFRS </w:t>
      </w:r>
      <w:proofErr w:type="spellStart"/>
      <w:r w:rsidRPr="004113A9">
        <w:rPr>
          <w:rFonts w:asciiTheme="minorHAnsi" w:hAnsiTheme="minorHAnsi"/>
          <w:sz w:val="16"/>
          <w:szCs w:val="16"/>
        </w:rPr>
        <w:t>SMEs</w:t>
      </w:r>
      <w:proofErr w:type="spellEnd"/>
      <w:r w:rsidRPr="004113A9">
        <w:rPr>
          <w:rFonts w:asciiTheme="minorHAnsi" w:hAnsiTheme="minorHAnsi"/>
          <w:sz w:val="16"/>
          <w:szCs w:val="16"/>
        </w:rPr>
        <w:t>, p. 1.7</w:t>
      </w:r>
    </w:p>
  </w:footnote>
  <w:footnote w:id="3">
    <w:p w:rsidR="008E6DD1" w:rsidRPr="004113A9" w:rsidRDefault="008E6DD1" w:rsidP="008E6DD1">
      <w:pPr>
        <w:pStyle w:val="FootnoteText"/>
        <w:spacing w:after="0" w:line="240" w:lineRule="auto"/>
        <w:rPr>
          <w:rFonts w:asciiTheme="minorHAnsi" w:hAnsiTheme="minorHAnsi"/>
          <w:sz w:val="16"/>
          <w:szCs w:val="16"/>
        </w:rPr>
      </w:pPr>
      <w:r w:rsidRPr="004113A9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4113A9">
        <w:rPr>
          <w:rFonts w:asciiTheme="minorHAnsi" w:hAnsiTheme="minorHAnsi"/>
          <w:sz w:val="16"/>
          <w:szCs w:val="16"/>
        </w:rPr>
        <w:t xml:space="preserve"> </w:t>
      </w:r>
      <w:r w:rsidRPr="004113A9">
        <w:rPr>
          <w:rFonts w:asciiTheme="minorHAnsi" w:hAnsiTheme="minorHAnsi"/>
          <w:sz w:val="16"/>
          <w:szCs w:val="16"/>
        </w:rPr>
        <w:t xml:space="preserve">Ver párrafos 1.2. y </w:t>
      </w:r>
      <w:proofErr w:type="spellStart"/>
      <w:r w:rsidRPr="004113A9">
        <w:rPr>
          <w:rFonts w:asciiTheme="minorHAnsi" w:hAnsiTheme="minorHAnsi"/>
          <w:sz w:val="16"/>
          <w:szCs w:val="16"/>
        </w:rPr>
        <w:t>ss</w:t>
      </w:r>
      <w:proofErr w:type="spellEnd"/>
      <w:r w:rsidRPr="004113A9">
        <w:rPr>
          <w:rFonts w:asciiTheme="minorHAnsi" w:hAnsiTheme="minorHAnsi"/>
          <w:sz w:val="16"/>
          <w:szCs w:val="16"/>
        </w:rPr>
        <w:t xml:space="preserve"> de la NIIF para Pymes.</w:t>
      </w:r>
    </w:p>
  </w:footnote>
  <w:footnote w:id="4">
    <w:p w:rsidR="008E6DD1" w:rsidRPr="004113A9" w:rsidRDefault="008E6DD1" w:rsidP="008E6DD1">
      <w:pPr>
        <w:pStyle w:val="FootnoteText"/>
        <w:spacing w:after="0" w:line="240" w:lineRule="auto"/>
        <w:rPr>
          <w:rFonts w:asciiTheme="minorHAnsi" w:hAnsiTheme="minorHAnsi"/>
          <w:sz w:val="16"/>
          <w:szCs w:val="16"/>
        </w:rPr>
      </w:pPr>
      <w:r w:rsidRPr="004113A9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4113A9">
        <w:rPr>
          <w:rFonts w:asciiTheme="minorHAnsi" w:hAnsiTheme="minorHAnsi"/>
          <w:sz w:val="16"/>
          <w:szCs w:val="16"/>
        </w:rPr>
        <w:t xml:space="preserve"> </w:t>
      </w:r>
      <w:r w:rsidRPr="004113A9">
        <w:rPr>
          <w:rFonts w:asciiTheme="minorHAnsi" w:hAnsiTheme="minorHAnsi"/>
          <w:sz w:val="16"/>
          <w:szCs w:val="16"/>
        </w:rPr>
        <w:t xml:space="preserve">Ver estudio preparado por </w:t>
      </w:r>
      <w:proofErr w:type="spellStart"/>
      <w:r w:rsidRPr="004113A9">
        <w:rPr>
          <w:rFonts w:asciiTheme="minorHAnsi" w:hAnsiTheme="minorHAnsi"/>
          <w:sz w:val="16"/>
          <w:szCs w:val="16"/>
        </w:rPr>
        <w:t>Deloitte</w:t>
      </w:r>
      <w:proofErr w:type="spellEnd"/>
      <w:r w:rsidRPr="004113A9">
        <w:rPr>
          <w:rFonts w:asciiTheme="minorHAnsi" w:hAnsiTheme="minorHAnsi"/>
          <w:sz w:val="16"/>
          <w:szCs w:val="16"/>
        </w:rPr>
        <w:t xml:space="preserve"> en: </w:t>
      </w:r>
      <w:hyperlink r:id="rId2" w:history="1">
        <w:r w:rsidRPr="004113A9">
          <w:rPr>
            <w:rStyle w:val="Hyperlink"/>
            <w:rFonts w:asciiTheme="minorHAnsi" w:hAnsiTheme="minorHAnsi"/>
            <w:sz w:val="16"/>
            <w:szCs w:val="16"/>
          </w:rPr>
          <w:t>http://www.iasplus.com/en/resources/ifrs-topics/use-of-ifrs</w:t>
        </w:r>
      </w:hyperlink>
    </w:p>
  </w:footnote>
  <w:footnote w:id="5">
    <w:p w:rsidR="008E6DD1" w:rsidRDefault="008E6DD1" w:rsidP="008E6DD1">
      <w:pPr>
        <w:pStyle w:val="FootnoteText"/>
        <w:spacing w:after="0" w:line="240" w:lineRule="auto"/>
      </w:pPr>
      <w:r w:rsidRPr="004113A9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4113A9">
        <w:rPr>
          <w:rFonts w:asciiTheme="minorHAnsi" w:hAnsiTheme="minorHAnsi"/>
          <w:sz w:val="16"/>
          <w:szCs w:val="16"/>
        </w:rPr>
        <w:t xml:space="preserve"> </w:t>
      </w:r>
      <w:r w:rsidRPr="004113A9">
        <w:rPr>
          <w:rFonts w:asciiTheme="minorHAnsi" w:hAnsiTheme="minorHAnsi"/>
          <w:sz w:val="16"/>
          <w:szCs w:val="16"/>
        </w:rPr>
        <w:t xml:space="preserve">Ver párrafos 2.14 a </w:t>
      </w:r>
      <w:proofErr w:type="spellStart"/>
      <w:r w:rsidRPr="004113A9">
        <w:rPr>
          <w:rFonts w:asciiTheme="minorHAnsi" w:hAnsiTheme="minorHAnsi"/>
          <w:sz w:val="16"/>
          <w:szCs w:val="16"/>
        </w:rPr>
        <w:t>a</w:t>
      </w:r>
      <w:proofErr w:type="spellEnd"/>
      <w:r w:rsidRPr="004113A9">
        <w:rPr>
          <w:rFonts w:asciiTheme="minorHAnsi" w:hAnsiTheme="minorHAnsi"/>
          <w:sz w:val="16"/>
          <w:szCs w:val="16"/>
        </w:rPr>
        <w:t xml:space="preserve"> 2.14 c de la NIIF para pymes modificada.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433F7">
      <w:t>8</w:t>
    </w:r>
    <w:r w:rsidR="00D52FEE">
      <w:t>16</w:t>
    </w:r>
    <w:r w:rsidR="00667D4D">
      <w:t>,</w:t>
    </w:r>
    <w:r w:rsidR="009D09BB">
      <w:t xml:space="preserve"> </w:t>
    </w:r>
    <w:r w:rsidR="00387D7E">
      <w:t>noviembre 18</w:t>
    </w:r>
    <w:r w:rsidR="0005771D">
      <w:t xml:space="preserve"> </w:t>
    </w:r>
    <w:r w:rsidR="0080786C">
      <w:t>de 201</w:t>
    </w:r>
    <w:r w:rsidR="00EB30A7">
      <w:t>3</w:t>
    </w:r>
  </w:p>
  <w:p w:rsidR="0046164F" w:rsidRDefault="00FE304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6E8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CD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55"/>
    <w:rsid w:val="001A1D5A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2CE7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BC9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C7443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72B"/>
    <w:rsid w:val="00432877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BFF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DDD"/>
    <w:rsid w:val="00597157"/>
    <w:rsid w:val="00597270"/>
    <w:rsid w:val="00597392"/>
    <w:rsid w:val="005973C3"/>
    <w:rsid w:val="00597FBA"/>
    <w:rsid w:val="005A0292"/>
    <w:rsid w:val="005A0439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6E40"/>
    <w:rsid w:val="005B7CF0"/>
    <w:rsid w:val="005B7D18"/>
    <w:rsid w:val="005B7F0B"/>
    <w:rsid w:val="005C0419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BA6"/>
    <w:rsid w:val="00617F61"/>
    <w:rsid w:val="00617F90"/>
    <w:rsid w:val="00617FE7"/>
    <w:rsid w:val="0062070A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FC9"/>
    <w:rsid w:val="006373FD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3DB2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24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A0B"/>
    <w:rsid w:val="006D504E"/>
    <w:rsid w:val="006D552D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684F"/>
    <w:rsid w:val="007D68AC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5E0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940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A0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2F"/>
    <w:rsid w:val="00965159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5CC2"/>
    <w:rsid w:val="00AB64D5"/>
    <w:rsid w:val="00AB682A"/>
    <w:rsid w:val="00AB69F0"/>
    <w:rsid w:val="00AB6DAD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E6C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395"/>
    <w:rsid w:val="00CF64ED"/>
    <w:rsid w:val="00CF66D8"/>
    <w:rsid w:val="00CF6C57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45"/>
    <w:rsid w:val="00DE1E04"/>
    <w:rsid w:val="00DE1E6C"/>
    <w:rsid w:val="00DE1EF9"/>
    <w:rsid w:val="00DE22B9"/>
    <w:rsid w:val="00DE22E8"/>
    <w:rsid w:val="00DE2619"/>
    <w:rsid w:val="00DE29CF"/>
    <w:rsid w:val="00DE2E63"/>
    <w:rsid w:val="00DE34C0"/>
    <w:rsid w:val="00DE3AD5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EFF"/>
    <w:rsid w:val="00E8160E"/>
    <w:rsid w:val="00E81A89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60B7"/>
    <w:rsid w:val="00EB6342"/>
    <w:rsid w:val="00EB6349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1C"/>
    <w:rsid w:val="00FC1CA4"/>
    <w:rsid w:val="00FC240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042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asplus.com/en/resources/ifrs-topics/use-of-ifrs" TargetMode="External"/><Relationship Id="rId1" Type="http://schemas.openxmlformats.org/officeDocument/2006/relationships/hyperlink" Target="http://www.ifrs.org/IFRS-for-SMEs/Documents/Marked-up-draft-IFRS-for-SMEs-October-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64DF9661-79C4-4319-A9E3-540A064F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2013-11-17T23:32:00Z</dcterms:created>
  <dcterms:modified xsi:type="dcterms:W3CDTF">2013-11-17T23:36:00Z</dcterms:modified>
</cp:coreProperties>
</file>