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E0" w:rsidRPr="006F78E0" w:rsidRDefault="006F78E0" w:rsidP="006F78E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F78E0">
        <w:rPr>
          <w:position w:val="-9"/>
          <w:sz w:val="123"/>
        </w:rPr>
        <w:t>E</w:t>
      </w:r>
    </w:p>
    <w:p w:rsidR="005F50D6" w:rsidRDefault="006F78E0" w:rsidP="00265C90">
      <w:r>
        <w:t xml:space="preserve">n </w:t>
      </w:r>
      <w:hyperlink r:id="rId9" w:history="1">
        <w:r w:rsidRPr="006F78E0">
          <w:rPr>
            <w:rStyle w:val="Hipervnculo"/>
          </w:rPr>
          <w:t>Contrapartida 838</w:t>
        </w:r>
      </w:hyperlink>
      <w:r>
        <w:t xml:space="preserve"> destacamos la decisión de la Unión Europea de aportar 4,3 millones de euros al financiamiento de IFRS. Según dicha noticia este aporte equivale al 17% del presupuesto de la Fundación.</w:t>
      </w:r>
    </w:p>
    <w:p w:rsidR="006F78E0" w:rsidRDefault="006F78E0" w:rsidP="00265C90">
      <w:pPr>
        <w:rPr>
          <w:lang w:val="en-US"/>
        </w:rPr>
      </w:pPr>
      <w:r w:rsidRPr="006F78E0">
        <w:rPr>
          <w:lang w:val="en-US"/>
        </w:rPr>
        <w:t xml:space="preserve">Al </w:t>
      </w:r>
      <w:proofErr w:type="spellStart"/>
      <w:r w:rsidRPr="006F78E0">
        <w:rPr>
          <w:lang w:val="en-US"/>
        </w:rPr>
        <w:t>finalizar</w:t>
      </w:r>
      <w:proofErr w:type="spellEnd"/>
      <w:r w:rsidRPr="006F78E0">
        <w:rPr>
          <w:lang w:val="en-US"/>
        </w:rPr>
        <w:t xml:space="preserve"> </w:t>
      </w:r>
      <w:hyperlink r:id="rId10" w:history="1">
        <w:proofErr w:type="spellStart"/>
        <w:r w:rsidRPr="006F78E0">
          <w:rPr>
            <w:rStyle w:val="Hipervnculo"/>
            <w:lang w:val="en-US"/>
          </w:rPr>
          <w:t>enero</w:t>
        </w:r>
        <w:proofErr w:type="spellEnd"/>
        <w:r w:rsidRPr="006F78E0">
          <w:rPr>
            <w:rStyle w:val="Hipervnculo"/>
            <w:lang w:val="en-US"/>
          </w:rPr>
          <w:t xml:space="preserve"> </w:t>
        </w:r>
        <w:proofErr w:type="spellStart"/>
        <w:r w:rsidRPr="006F78E0">
          <w:rPr>
            <w:rStyle w:val="Hipervnculo"/>
            <w:lang w:val="en-US"/>
          </w:rPr>
          <w:t>pasado</w:t>
        </w:r>
        <w:proofErr w:type="spellEnd"/>
      </w:hyperlink>
      <w:r w:rsidRPr="006F78E0">
        <w:rPr>
          <w:lang w:val="en-US"/>
        </w:rPr>
        <w:t xml:space="preserve"> se </w:t>
      </w:r>
      <w:proofErr w:type="spellStart"/>
      <w:r>
        <w:rPr>
          <w:lang w:val="en-US"/>
        </w:rPr>
        <w:t>supo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 w:rsidRPr="006F78E0">
        <w:rPr>
          <w:lang w:val="en-US"/>
        </w:rPr>
        <w:t xml:space="preserve">: </w:t>
      </w:r>
      <w:r>
        <w:rPr>
          <w:lang w:val="en-US"/>
        </w:rPr>
        <w:t>“</w:t>
      </w:r>
      <w:r w:rsidRPr="006F78E0">
        <w:rPr>
          <w:i/>
          <w:lang w:val="en-US"/>
        </w:rPr>
        <w:t>The Financial Accounting Foundation (FAF) today announced that it will make a non-recurring contribution of up to $3 million to the International Financial Reporting Standards Foundation (IFRSF) to support the completion of international convergence projects</w:t>
      </w:r>
      <w:r w:rsidRPr="006F78E0">
        <w:rPr>
          <w:lang w:val="en-US"/>
        </w:rPr>
        <w:t>.</w:t>
      </w:r>
      <w:r>
        <w:rPr>
          <w:lang w:val="en-US"/>
        </w:rPr>
        <w:t>”</w:t>
      </w:r>
    </w:p>
    <w:p w:rsidR="006F78E0" w:rsidRDefault="006F78E0" w:rsidP="00265C90">
      <w:r w:rsidRPr="006F78E0">
        <w:t>Tales aportes económicos son significativos, puesto que contribuyen en forma notoria al pres</w:t>
      </w:r>
      <w:r>
        <w:t>upuesto de la Fundación IFRS.</w:t>
      </w:r>
    </w:p>
    <w:p w:rsidR="006F78E0" w:rsidRDefault="006F78E0" w:rsidP="00265C90">
      <w:r>
        <w:t>Sin embargo la cuestión no es meramente económica. Expresa también un equilibrio geopolítico.</w:t>
      </w:r>
    </w:p>
    <w:p w:rsidR="006F78E0" w:rsidRDefault="006F78E0" w:rsidP="00265C90">
      <w:r>
        <w:t xml:space="preserve">En la </w:t>
      </w:r>
      <w:hyperlink r:id="rId11" w:history="1">
        <w:r w:rsidRPr="005434D3">
          <w:rPr>
            <w:rStyle w:val="Hipervnculo"/>
          </w:rPr>
          <w:t>constitución</w:t>
        </w:r>
      </w:hyperlink>
      <w:r>
        <w:t xml:space="preserve"> de IFRS se lee:</w:t>
      </w:r>
    </w:p>
    <w:p w:rsidR="006F78E0" w:rsidRPr="006F78E0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t>“</w:t>
      </w:r>
      <w:r w:rsidRPr="006F78E0">
        <w:rPr>
          <w:i/>
          <w:lang w:val="en-US"/>
        </w:rPr>
        <w:t>In order to ensure a broad international basis, there shall be:</w:t>
      </w:r>
    </w:p>
    <w:p w:rsidR="006F78E0" w:rsidRPr="006F78E0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t xml:space="preserve">(a) </w:t>
      </w:r>
      <w:proofErr w:type="gramStart"/>
      <w:r w:rsidRPr="006F78E0">
        <w:rPr>
          <w:i/>
          <w:lang w:val="en-US"/>
        </w:rPr>
        <w:t>six</w:t>
      </w:r>
      <w:proofErr w:type="gramEnd"/>
      <w:r w:rsidRPr="006F78E0">
        <w:rPr>
          <w:i/>
          <w:lang w:val="en-US"/>
        </w:rPr>
        <w:t xml:space="preserve"> Trustees appointed from the Asia/Oceania region;</w:t>
      </w:r>
    </w:p>
    <w:p w:rsidR="006F78E0" w:rsidRPr="006F78E0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t xml:space="preserve">(b) </w:t>
      </w:r>
      <w:proofErr w:type="gramStart"/>
      <w:r w:rsidRPr="006F78E0">
        <w:rPr>
          <w:i/>
          <w:lang w:val="en-US"/>
        </w:rPr>
        <w:t>six</w:t>
      </w:r>
      <w:proofErr w:type="gramEnd"/>
      <w:r w:rsidRPr="006F78E0">
        <w:rPr>
          <w:i/>
          <w:lang w:val="en-US"/>
        </w:rPr>
        <w:t xml:space="preserve"> Trustees appointed from Europe;</w:t>
      </w:r>
    </w:p>
    <w:p w:rsidR="006F78E0" w:rsidRPr="006F78E0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t xml:space="preserve">(c) </w:t>
      </w:r>
      <w:proofErr w:type="gramStart"/>
      <w:r w:rsidRPr="006F78E0">
        <w:rPr>
          <w:i/>
          <w:lang w:val="en-US"/>
        </w:rPr>
        <w:t>six</w:t>
      </w:r>
      <w:proofErr w:type="gramEnd"/>
      <w:r w:rsidRPr="006F78E0">
        <w:rPr>
          <w:i/>
          <w:lang w:val="en-US"/>
        </w:rPr>
        <w:t xml:space="preserve"> Trustees appointed from North America;</w:t>
      </w:r>
    </w:p>
    <w:p w:rsidR="006F78E0" w:rsidRPr="006F78E0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t xml:space="preserve">(d) </w:t>
      </w:r>
      <w:proofErr w:type="gramStart"/>
      <w:r w:rsidRPr="006F78E0">
        <w:rPr>
          <w:i/>
          <w:lang w:val="en-US"/>
        </w:rPr>
        <w:t>one</w:t>
      </w:r>
      <w:proofErr w:type="gramEnd"/>
      <w:r w:rsidRPr="006F78E0">
        <w:rPr>
          <w:i/>
          <w:lang w:val="en-US"/>
        </w:rPr>
        <w:t xml:space="preserve"> Trustee appointed from Africa;</w:t>
      </w:r>
    </w:p>
    <w:p w:rsidR="006F78E0" w:rsidRPr="006F78E0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t xml:space="preserve">(e) </w:t>
      </w:r>
      <w:proofErr w:type="gramStart"/>
      <w:r w:rsidRPr="006F78E0">
        <w:rPr>
          <w:i/>
          <w:lang w:val="en-US"/>
        </w:rPr>
        <w:t>one</w:t>
      </w:r>
      <w:proofErr w:type="gramEnd"/>
      <w:r w:rsidRPr="006F78E0">
        <w:rPr>
          <w:i/>
          <w:lang w:val="en-US"/>
        </w:rPr>
        <w:t xml:space="preserve"> Trustee appointed from South America; and</w:t>
      </w:r>
    </w:p>
    <w:p w:rsidR="006F78E0" w:rsidRPr="004C4CA1" w:rsidRDefault="006F78E0" w:rsidP="006F78E0">
      <w:pPr>
        <w:rPr>
          <w:i/>
          <w:lang w:val="en-US"/>
        </w:rPr>
      </w:pPr>
      <w:r w:rsidRPr="006F78E0">
        <w:rPr>
          <w:i/>
          <w:lang w:val="en-US"/>
        </w:rPr>
        <w:lastRenderedPageBreak/>
        <w:t xml:space="preserve">(f) </w:t>
      </w:r>
      <w:proofErr w:type="gramStart"/>
      <w:r w:rsidRPr="006F78E0">
        <w:rPr>
          <w:i/>
          <w:lang w:val="en-US"/>
        </w:rPr>
        <w:t>two</w:t>
      </w:r>
      <w:proofErr w:type="gramEnd"/>
      <w:r w:rsidRPr="006F78E0">
        <w:rPr>
          <w:i/>
          <w:lang w:val="en-US"/>
        </w:rPr>
        <w:t xml:space="preserve"> Trustees appointed from any area, subject to maintaining overall</w:t>
      </w:r>
      <w:r w:rsidR="005A209E">
        <w:rPr>
          <w:i/>
          <w:lang w:val="en-US"/>
        </w:rPr>
        <w:t xml:space="preserve"> </w:t>
      </w:r>
      <w:r w:rsidRPr="004C4CA1">
        <w:rPr>
          <w:i/>
          <w:lang w:val="en-US"/>
        </w:rPr>
        <w:t>geographical balance.</w:t>
      </w:r>
      <w:r w:rsidRPr="004C4CA1">
        <w:rPr>
          <w:i/>
          <w:lang w:val="en-US"/>
        </w:rPr>
        <w:t>”</w:t>
      </w:r>
    </w:p>
    <w:p w:rsidR="0055311C" w:rsidRDefault="0055311C" w:rsidP="006F78E0">
      <w:r>
        <w:t xml:space="preserve">Como se ve la participación suramericana es muy baja. ¿Podrá </w:t>
      </w:r>
      <w:hyperlink r:id="rId12" w:history="1">
        <w:proofErr w:type="spellStart"/>
        <w:r w:rsidRPr="00B33946">
          <w:rPr>
            <w:rStyle w:val="Hipervnculo"/>
          </w:rPr>
          <w:t>Glenif</w:t>
        </w:r>
        <w:proofErr w:type="spellEnd"/>
      </w:hyperlink>
      <w:r>
        <w:t xml:space="preserve"> cambiar esto?</w:t>
      </w:r>
    </w:p>
    <w:p w:rsidR="0055311C" w:rsidRDefault="00B33946" w:rsidP="006F78E0">
      <w:r>
        <w:t>Ahora bien: también al interior de un país, como Colombia, el desarrollo contable implica una adecuada geopolítica. La limitación de recursos materiales concentra los esfuerzos de las autoridades de regulación, de normalización y de supervisión</w:t>
      </w:r>
      <w:r w:rsidR="00FC15B8">
        <w:t>,</w:t>
      </w:r>
      <w:r>
        <w:t xml:space="preserve"> en unas pocas ciudades.</w:t>
      </w:r>
    </w:p>
    <w:p w:rsidR="00B33946" w:rsidRDefault="00B33946" w:rsidP="006F78E0">
      <w:r>
        <w:t>Para superar esa presencia deficiente</w:t>
      </w:r>
      <w:r w:rsidR="00FC15B8">
        <w:t>,</w:t>
      </w:r>
      <w:r>
        <w:t xml:space="preserve"> que da la espalda a más de la mitad del país, es necesario recurrir a las nuevas tecnologías de la información.</w:t>
      </w:r>
    </w:p>
    <w:p w:rsidR="00B33946" w:rsidRDefault="00FC15B8" w:rsidP="006F78E0">
      <w:r>
        <w:t>Así por ejemplo</w:t>
      </w:r>
      <w:r w:rsidR="00B33946">
        <w:t xml:space="preserve">, es posible observar </w:t>
      </w:r>
      <w:hyperlink r:id="rId13" w:history="1">
        <w:r w:rsidR="00B33946" w:rsidRPr="00B33946">
          <w:rPr>
            <w:rStyle w:val="Hipervnculo"/>
          </w:rPr>
          <w:t>en directo</w:t>
        </w:r>
      </w:hyperlink>
      <w:r w:rsidR="00B33946">
        <w:t xml:space="preserve"> las reuniones del IASB.</w:t>
      </w:r>
    </w:p>
    <w:p w:rsidR="006701EC" w:rsidRDefault="006701EC" w:rsidP="006F78E0">
      <w:r>
        <w:t xml:space="preserve">Hay mucho dinero orientado hacia las grandes, medianas y pequeñas empresas. Casi nada, o nada, destinado a las microempresas, las que </w:t>
      </w:r>
      <w:hyperlink r:id="rId14" w:history="1">
        <w:r w:rsidRPr="006701EC">
          <w:rPr>
            <w:rStyle w:val="Hipervnculo"/>
          </w:rPr>
          <w:t>representaban</w:t>
        </w:r>
      </w:hyperlink>
      <w:r>
        <w:t xml:space="preserve"> el 96.03% del empresariado colombiano.</w:t>
      </w:r>
    </w:p>
    <w:p w:rsidR="00FC15B8" w:rsidRDefault="00FC15B8" w:rsidP="006F78E0">
      <w:r>
        <w:t>Es evidente que el cambio de normas contables tiene un impacto económico para los preparadores y consecuentemente para los contadores. La cuestión es que no todos parecen estar en posibilidad material de hacer un cambio adecuado.</w:t>
      </w:r>
    </w:p>
    <w:p w:rsidR="00FC15B8" w:rsidRDefault="004C4CA1" w:rsidP="006F78E0">
      <w:r>
        <w:t>Si</w:t>
      </w:r>
      <w:r w:rsidR="00FC15B8">
        <w:t xml:space="preserve"> el país no cambia su geopolítica contable terminará creando abismos entre los tres grupos de empresa</w:t>
      </w:r>
      <w:r>
        <w:t>s definidos para asumir las NIF.</w:t>
      </w:r>
    </w:p>
    <w:p w:rsidR="004C4CA1" w:rsidRPr="004C4CA1" w:rsidRDefault="004C4CA1" w:rsidP="004C4CA1">
      <w:pPr>
        <w:jc w:val="right"/>
        <w:rPr>
          <w:i/>
        </w:rPr>
      </w:pPr>
      <w:bookmarkStart w:id="0" w:name="_GoBack"/>
      <w:r w:rsidRPr="004C4CA1">
        <w:rPr>
          <w:i/>
        </w:rPr>
        <w:t>Hernando Bermúdez Gómez</w:t>
      </w:r>
      <w:bookmarkEnd w:id="0"/>
    </w:p>
    <w:sectPr w:rsidR="004C4CA1" w:rsidRPr="004C4CA1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46" w:rsidRDefault="00DE1B46" w:rsidP="00EE7812">
      <w:pPr>
        <w:spacing w:after="0" w:line="240" w:lineRule="auto"/>
      </w:pPr>
      <w:r>
        <w:separator/>
      </w:r>
    </w:p>
  </w:endnote>
  <w:endnote w:type="continuationSeparator" w:id="0">
    <w:p w:rsidR="00DE1B46" w:rsidRDefault="00DE1B4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46" w:rsidRDefault="00DE1B46" w:rsidP="00EE7812">
      <w:pPr>
        <w:spacing w:after="0" w:line="240" w:lineRule="auto"/>
      </w:pPr>
      <w:r>
        <w:separator/>
      </w:r>
    </w:p>
  </w:footnote>
  <w:footnote w:type="continuationSeparator" w:id="0">
    <w:p w:rsidR="00DE1B46" w:rsidRDefault="00DE1B4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265C90">
      <w:t>55</w:t>
    </w:r>
    <w:r w:rsidR="00667D4D">
      <w:t>,</w:t>
    </w:r>
    <w:r w:rsidR="009D09BB">
      <w:t xml:space="preserve"> </w:t>
    </w:r>
    <w:r w:rsidR="00D7211A">
      <w:t>febrero</w:t>
    </w:r>
    <w:r w:rsidR="007E2BC9">
      <w:t xml:space="preserve"> </w:t>
    </w:r>
    <w:r w:rsidR="00F7761C">
      <w:t>17</w:t>
    </w:r>
    <w:r w:rsidR="007E2BC9">
      <w:t xml:space="preserve"> de 2014</w:t>
    </w:r>
  </w:p>
  <w:p w:rsidR="0046164F" w:rsidRDefault="00DE1B4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s.org/Meetings/Pages/Meetings-Pag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enif.org/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The-organisation/Governance-and-accountability/Constitution/Documents/IFRS-Foundation-Constitution-January-201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ccountingfoundation.org/cs/ContentServer?c=FAFContent_C&amp;pagename=Foundation%2FFAFContent_C%2FFAFNewsPage&amp;cid=11761637746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838.docx" TargetMode="External"/><Relationship Id="rId14" Type="http://schemas.openxmlformats.org/officeDocument/2006/relationships/hyperlink" Target="http://propais.org.co/biblioteca/observatorio/estadisticas-sobre-las-microempresas-en-colombia-beatriz-girald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BA24B17-ABE7-4ED3-ADD8-72AF30F2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8</cp:revision>
  <cp:lastPrinted>2011-08-23T16:28:00Z</cp:lastPrinted>
  <dcterms:created xsi:type="dcterms:W3CDTF">2014-02-17T13:32:00Z</dcterms:created>
  <dcterms:modified xsi:type="dcterms:W3CDTF">2014-02-17T14:08:00Z</dcterms:modified>
</cp:coreProperties>
</file>