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21" w:rsidRPr="00604D21" w:rsidRDefault="00094F06" w:rsidP="00190D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R</w:t>
      </w:r>
    </w:p>
    <w:p w:rsidR="00830F26" w:rsidRPr="007E472E" w:rsidRDefault="00830F26" w:rsidP="00D263FE">
      <w:pPr>
        <w:keepNext/>
        <w:framePr w:dropCap="drop" w:lines="3" w:wrap="around" w:vAnchor="text" w:hAnchor="page" w:x="1413" w:y="70"/>
        <w:spacing w:after="0" w:line="926" w:lineRule="exact"/>
        <w:textAlignment w:val="baseline"/>
        <w:rPr>
          <w:rFonts w:asciiTheme="minorHAnsi" w:hAnsiTheme="minorHAnsi"/>
          <w:position w:val="-9"/>
        </w:rPr>
      </w:pPr>
    </w:p>
    <w:p w:rsidR="00094F06" w:rsidRPr="00D263FE" w:rsidRDefault="00094F06" w:rsidP="00190D99">
      <w:r w:rsidRPr="00D263FE">
        <w:t>eunidos recientemente con el P</w:t>
      </w:r>
      <w:r w:rsidR="00246B24">
        <w:t xml:space="preserve">rograma de </w:t>
      </w:r>
      <w:r w:rsidRPr="00D263FE">
        <w:t>N</w:t>
      </w:r>
      <w:r w:rsidR="00246B24">
        <w:t xml:space="preserve">aciones </w:t>
      </w:r>
      <w:r w:rsidRPr="00D263FE">
        <w:t>U</w:t>
      </w:r>
      <w:r w:rsidR="00246B24">
        <w:t xml:space="preserve">nidas para el </w:t>
      </w:r>
      <w:r w:rsidRPr="00D263FE">
        <w:t>D</w:t>
      </w:r>
      <w:r w:rsidR="00246B24">
        <w:t>esarrollo</w:t>
      </w:r>
      <w:r w:rsidRPr="00D263FE">
        <w:t xml:space="preserve"> para evaluar el avance de los O</w:t>
      </w:r>
      <w:r w:rsidR="00246B24">
        <w:t xml:space="preserve">bjetivos de </w:t>
      </w:r>
      <w:r w:rsidRPr="00D263FE">
        <w:t>D</w:t>
      </w:r>
      <w:r w:rsidR="00246B24">
        <w:t xml:space="preserve">esarrollo del </w:t>
      </w:r>
      <w:r w:rsidRPr="00D263FE">
        <w:t>M</w:t>
      </w:r>
      <w:r w:rsidR="00246B24">
        <w:t>ilenio</w:t>
      </w:r>
      <w:r w:rsidRPr="00D263FE">
        <w:t xml:space="preserve"> en Soacha, revisamos que el asistencialismo se ha convertido en uno de los principales problemas para el desarrollo, porque las personas esperan los aportes en lugar de recibir los procesos de formación y crecimiento personal. Esta situación está muy acentuada en las poblaciones vulnerables y es común denominador nacional.</w:t>
      </w:r>
    </w:p>
    <w:p w:rsidR="00094F06" w:rsidRPr="00D263FE" w:rsidRDefault="00094F06" w:rsidP="00190D99">
      <w:r w:rsidRPr="00D263FE">
        <w:t>La Innovación Social implica la participación activa de la comunidad, ya que los procesos deben incidir en las interrelaciones y el desarrollo social para generar cambios en los patrones culturales, a partir del reconocimiento de su diversidad y garantizando su auto sostenibilidad.</w:t>
      </w:r>
    </w:p>
    <w:p w:rsidR="00094F06" w:rsidRPr="00D263FE" w:rsidRDefault="00094F06" w:rsidP="00190D99">
      <w:r w:rsidRPr="00D263FE">
        <w:t>La Innovación Social es relativamente replicable y adaptable en otros contextos y puede aportar elementos para la creación de una política pública, aunque no es un requerimiento final.</w:t>
      </w:r>
    </w:p>
    <w:p w:rsidR="00094F06" w:rsidRPr="00D263FE" w:rsidRDefault="00094F06" w:rsidP="00190D99">
      <w:r w:rsidRPr="00D263FE">
        <w:t>Por tanto, las acciones deben estar enfocadas más a las personas por encima de los medios que se utilizan.</w:t>
      </w:r>
    </w:p>
    <w:p w:rsidR="00094F06" w:rsidRPr="00D263FE" w:rsidRDefault="00094F06" w:rsidP="00704598">
      <w:r w:rsidRPr="00D263FE">
        <w:t xml:space="preserve">La Innovación Social no consiste en imponer o asumir las ideas de uno de los actores, sino más bien lograr que el esfuerzo de todos potencie y empodere a la comunidad. En este sentido es necesario romper las barreras y generar </w:t>
      </w:r>
      <w:r w:rsidRPr="00704598">
        <w:rPr>
          <w:rFonts w:cs="Calibri"/>
        </w:rPr>
        <w:t>una sinergia con el objetivo de transformar el territorio.</w:t>
      </w:r>
    </w:p>
    <w:p w:rsidR="00094F06" w:rsidRPr="00D263FE" w:rsidRDefault="00094F06" w:rsidP="00D263FE">
      <w:pPr>
        <w:rPr>
          <w:rFonts w:cs="Calibri"/>
        </w:rPr>
      </w:pPr>
      <w:r w:rsidRPr="00D263FE">
        <w:rPr>
          <w:rFonts w:cs="Calibri"/>
        </w:rPr>
        <w:lastRenderedPageBreak/>
        <w:t>La Innovación Social permite pasar del imaginario a una apropiación política de los individuos; no son acciones sino procesos basados en la confianza y la credibilidad de los actores involucrados. Las ideas permiten una reingeniería social que debe estar enfocada a los grupos, los cuales generan nuevas subjetividades. La Innovación Social debe tener tareas, objetivos y metas alcanzables y medibles.</w:t>
      </w:r>
    </w:p>
    <w:p w:rsidR="00094F06" w:rsidRPr="00D263FE" w:rsidRDefault="00094F06" w:rsidP="00D263FE">
      <w:pPr>
        <w:rPr>
          <w:rFonts w:cs="Calibri"/>
        </w:rPr>
      </w:pPr>
      <w:r w:rsidRPr="00D263FE">
        <w:rPr>
          <w:rFonts w:cs="Calibri"/>
        </w:rPr>
        <w:t xml:space="preserve">En Colombia es primordial trabajar con el grupo poblacional entre 10 y 30 años como objetivo de las intervenciones sociales, con  especial atención a la mujer (perspectiva de género y participación política), donde se consideren, entre otros elementos la re dignificación de la mujer, Embarazo adolescente, Baja participación política, Cuidado a infantes, Proyecto de vida, Violencia y exclusión, y Cuidado en el proceso de gestación. </w:t>
      </w:r>
    </w:p>
    <w:p w:rsidR="006E2AF2" w:rsidRDefault="00094F06" w:rsidP="00D263FE">
      <w:pPr>
        <w:rPr>
          <w:rFonts w:cs="Calibri"/>
        </w:rPr>
      </w:pPr>
      <w:r w:rsidRPr="00D263FE">
        <w:rPr>
          <w:rFonts w:cs="Calibri"/>
        </w:rPr>
        <w:t xml:space="preserve"> Abordar las problemáticas con una visión         de género, dando la misma importancia a hombres y mujeres es partir de una concepción de sociedad en la que la complementariedad e interdependencia de los géneros, es tanto el actor como el infractor de los acuerdos sociales y por tanto de los resultados obtenidos (positivos o negativos).</w:t>
      </w:r>
    </w:p>
    <w:p w:rsidR="00234A14" w:rsidRPr="00234A14" w:rsidRDefault="00234A14" w:rsidP="00234A14">
      <w:pPr>
        <w:jc w:val="right"/>
        <w:rPr>
          <w:rFonts w:cs="Calibri"/>
        </w:rPr>
      </w:pPr>
      <w:r>
        <w:rPr>
          <w:rFonts w:cs="Calibri"/>
        </w:rPr>
        <w:t>Walter</w:t>
      </w:r>
      <w:r w:rsidRPr="00234A14">
        <w:rPr>
          <w:rFonts w:cs="Calibri"/>
        </w:rPr>
        <w:t xml:space="preserve"> O</w:t>
      </w:r>
      <w:r>
        <w:rPr>
          <w:rFonts w:cs="Calibri"/>
        </w:rPr>
        <w:t>campo</w:t>
      </w:r>
      <w:r w:rsidRPr="00234A14">
        <w:rPr>
          <w:rFonts w:cs="Calibri"/>
        </w:rPr>
        <w:t xml:space="preserve"> G</w:t>
      </w:r>
      <w:r>
        <w:rPr>
          <w:rFonts w:cs="Calibri"/>
        </w:rPr>
        <w:t>utiérrez</w:t>
      </w:r>
    </w:p>
    <w:p w:rsidR="00234A14" w:rsidRPr="00D263FE" w:rsidRDefault="00234A14" w:rsidP="00D263FE">
      <w:pPr>
        <w:rPr>
          <w:rFonts w:cs="Calibri"/>
        </w:rPr>
      </w:pPr>
    </w:p>
    <w:sectPr w:rsidR="00234A14" w:rsidRPr="00D263F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8F" w:rsidRDefault="0035718F" w:rsidP="00EE7812">
      <w:pPr>
        <w:spacing w:after="0" w:line="240" w:lineRule="auto"/>
      </w:pPr>
      <w:r>
        <w:separator/>
      </w:r>
    </w:p>
  </w:endnote>
  <w:endnote w:type="continuationSeparator" w:id="0">
    <w:p w:rsidR="0035718F" w:rsidRDefault="0035718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8F" w:rsidRDefault="0035718F" w:rsidP="00EE7812">
      <w:pPr>
        <w:spacing w:after="0" w:line="240" w:lineRule="auto"/>
      </w:pPr>
      <w:r>
        <w:separator/>
      </w:r>
    </w:p>
  </w:footnote>
  <w:footnote w:type="continuationSeparator" w:id="0">
    <w:p w:rsidR="0035718F" w:rsidRDefault="0035718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704598">
      <w:t>71</w:t>
    </w:r>
    <w:r w:rsidR="00667D4D">
      <w:t>,</w:t>
    </w:r>
    <w:r w:rsidR="00D573B3">
      <w:t xml:space="preserve"> abril</w:t>
    </w:r>
    <w:r w:rsidR="007E2BC9">
      <w:t xml:space="preserve"> </w:t>
    </w:r>
    <w:r w:rsidR="00B276B4">
      <w:t>1</w:t>
    </w:r>
    <w:r w:rsidR="00D573B3">
      <w:t>0</w:t>
    </w:r>
    <w:r w:rsidR="007E2BC9">
      <w:t xml:space="preserve"> de 2014</w:t>
    </w:r>
  </w:p>
  <w:p w:rsidR="0046164F" w:rsidRDefault="0035718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18F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6F98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F38A38A-F516-4171-AD8F-D02CEE0A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2</cp:revision>
  <cp:lastPrinted>2011-08-23T16:28:00Z</cp:lastPrinted>
  <dcterms:created xsi:type="dcterms:W3CDTF">2014-04-26T20:44:00Z</dcterms:created>
  <dcterms:modified xsi:type="dcterms:W3CDTF">2014-04-26T20:44:00Z</dcterms:modified>
</cp:coreProperties>
</file>