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2" w:rsidRPr="00B33D2F" w:rsidRDefault="00123822" w:rsidP="002D1DE2">
      <w:pPr>
        <w:keepNext/>
        <w:framePr w:dropCap="drop" w:lines="3" w:wrap="auto" w:vAnchor="text" w:hAnchor="text" w:y="1"/>
        <w:spacing w:after="0" w:line="926" w:lineRule="exact"/>
        <w:textAlignment w:val="baseline"/>
        <w:rPr>
          <w:rFonts w:asciiTheme="minorHAnsi" w:hAnsiTheme="minorHAnsi"/>
          <w:position w:val="-8"/>
          <w:sz w:val="24"/>
          <w:szCs w:val="24"/>
        </w:rPr>
      </w:pPr>
      <w:r>
        <w:rPr>
          <w:position w:val="-8"/>
          <w:sz w:val="120"/>
          <w:szCs w:val="120"/>
        </w:rPr>
        <w:t>C</w:t>
      </w:r>
    </w:p>
    <w:p w:rsidR="00FD082E" w:rsidRDefault="00123822" w:rsidP="003C7323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uando </w:t>
      </w:r>
      <w:r w:rsidR="003C7323" w:rsidRPr="002C67D6">
        <w:rPr>
          <w:rFonts w:asciiTheme="minorHAnsi" w:eastAsia="Times New Roman" w:hAnsiTheme="minorHAnsi"/>
          <w:szCs w:val="24"/>
          <w:lang w:val="es-ES" w:eastAsia="es-CO"/>
        </w:rPr>
        <w:t xml:space="preserve">se habla de la NIIF 4, surge la inquietud de si las </w:t>
      </w:r>
      <w:bookmarkStart w:id="0" w:name="_GoBack"/>
      <w:r w:rsidR="003C7323" w:rsidRPr="002C67D6">
        <w:rPr>
          <w:rFonts w:asciiTheme="minorHAnsi" w:eastAsia="Times New Roman" w:hAnsiTheme="minorHAnsi"/>
          <w:szCs w:val="24"/>
          <w:lang w:val="es-ES" w:eastAsia="es-CO"/>
        </w:rPr>
        <w:t xml:space="preserve">organizaciones que manejan los servicios funerarios o los planes </w:t>
      </w:r>
      <w:proofErr w:type="spellStart"/>
      <w:r w:rsidR="003C7323" w:rsidRPr="002C67D6">
        <w:rPr>
          <w:rFonts w:asciiTheme="minorHAnsi" w:eastAsia="Times New Roman" w:hAnsiTheme="minorHAnsi"/>
          <w:szCs w:val="24"/>
          <w:lang w:val="es-ES" w:eastAsia="es-CO"/>
        </w:rPr>
        <w:t>exequiales</w:t>
      </w:r>
      <w:bookmarkEnd w:id="0"/>
      <w:proofErr w:type="spellEnd"/>
      <w:r w:rsidR="003C7323" w:rsidRPr="002C67D6">
        <w:rPr>
          <w:rFonts w:asciiTheme="minorHAnsi" w:eastAsia="Times New Roman" w:hAnsiTheme="minorHAnsi"/>
          <w:szCs w:val="24"/>
          <w:lang w:val="es-ES" w:eastAsia="es-CO"/>
        </w:rPr>
        <w:t>, están en la obligación de aplicar la norma internacional de información financiera – NIIF 4; y si es así ellos estarán en las condiciones financieras para respaldar las obligaciones, o las contingencias surgidas en el ejercicio de la actividad especial que están desarrollando.</w:t>
      </w:r>
    </w:p>
    <w:p w:rsidR="00FD082E" w:rsidRDefault="00FD082E" w:rsidP="003C7323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6A2A25" w:rsidRPr="002C67D6" w:rsidRDefault="003C7323" w:rsidP="003C7323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Muchas de estas organizaciones no son compañías de seguros, </w:t>
      </w:r>
      <w:r w:rsidR="006A2A25" w:rsidRPr="002C67D6">
        <w:rPr>
          <w:rFonts w:asciiTheme="minorHAnsi" w:eastAsia="Times New Roman" w:hAnsiTheme="minorHAnsi"/>
          <w:szCs w:val="24"/>
          <w:lang w:val="es-ES" w:eastAsia="es-CO"/>
        </w:rPr>
        <w:t xml:space="preserve">y por lo tanto  no son 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>consideradas de interés público</w:t>
      </w:r>
      <w:r w:rsidR="006A2A25" w:rsidRPr="002C67D6">
        <w:rPr>
          <w:rFonts w:asciiTheme="minorHAnsi" w:eastAsia="Times New Roman" w:hAnsiTheme="minorHAnsi"/>
          <w:szCs w:val="24"/>
          <w:lang w:val="es-ES" w:eastAsia="es-CO"/>
        </w:rPr>
        <w:t xml:space="preserve">, porque de serlo, el 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rigor </w:t>
      </w:r>
      <w:r w:rsidR="006A2A25" w:rsidRPr="002C67D6">
        <w:rPr>
          <w:rFonts w:asciiTheme="minorHAnsi" w:eastAsia="Times New Roman" w:hAnsiTheme="minorHAnsi"/>
          <w:szCs w:val="24"/>
          <w:lang w:val="es-ES" w:eastAsia="es-CO"/>
        </w:rPr>
        <w:t>exigido sería más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 amplio en el manejo de sus reservas para eventos catastróficos </w:t>
      </w:r>
      <w:r w:rsidR="006A2A25" w:rsidRPr="002C67D6">
        <w:rPr>
          <w:rFonts w:asciiTheme="minorHAnsi" w:eastAsia="Times New Roman" w:hAnsiTheme="minorHAnsi"/>
          <w:szCs w:val="24"/>
          <w:lang w:val="es-ES" w:eastAsia="es-CO"/>
        </w:rPr>
        <w:t>que se pueden presentar en las siniestralidades del producto que ofrecen.</w:t>
      </w:r>
    </w:p>
    <w:p w:rsidR="00B06C0E" w:rsidRPr="002C67D6" w:rsidRDefault="00B06C0E" w:rsidP="003C7323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661D16" w:rsidRPr="002C67D6" w:rsidRDefault="006A2A25" w:rsidP="003C7323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En relación con el producto ofrecido y </w:t>
      </w:r>
      <w:r w:rsidR="00B06C0E" w:rsidRPr="002C67D6">
        <w:rPr>
          <w:rFonts w:asciiTheme="minorHAnsi" w:eastAsia="Times New Roman" w:hAnsiTheme="minorHAnsi"/>
          <w:szCs w:val="24"/>
          <w:lang w:val="es-ES" w:eastAsia="es-CO"/>
        </w:rPr>
        <w:t>con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 estas compañías que actualmente no son entidades de seguros, deberán utilizar la NIIF </w:t>
      </w:r>
      <w:r w:rsidR="00B43C02">
        <w:rPr>
          <w:rFonts w:asciiTheme="minorHAnsi" w:eastAsia="Times New Roman" w:hAnsiTheme="minorHAnsi"/>
          <w:szCs w:val="24"/>
          <w:lang w:val="es-ES" w:eastAsia="es-CO"/>
        </w:rPr>
        <w:t>N°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4 para el registro de esta actividad especial y por lo tanto reconocer un contrato de seguros donde la empresa asume el riesgo </w:t>
      </w:r>
      <w:r w:rsidR="00B06C0E" w:rsidRPr="002C67D6">
        <w:rPr>
          <w:rFonts w:asciiTheme="minorHAnsi" w:eastAsia="Times New Roman" w:hAnsiTheme="minorHAnsi"/>
          <w:szCs w:val="24"/>
          <w:lang w:val="es-ES" w:eastAsia="es-CO"/>
        </w:rPr>
        <w:t xml:space="preserve">significativo 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>de aseguradora</w:t>
      </w:r>
      <w:r w:rsidR="00B06C0E" w:rsidRPr="002C67D6">
        <w:rPr>
          <w:rFonts w:asciiTheme="minorHAnsi" w:eastAsia="Times New Roman" w:hAnsiTheme="minorHAnsi"/>
          <w:szCs w:val="24"/>
          <w:lang w:val="es-ES" w:eastAsia="es-CO"/>
        </w:rPr>
        <w:t>, con una contraparte (tenedor de la póliza o contrato) que espera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  </w:t>
      </w:r>
      <w:r w:rsidR="00B06C0E" w:rsidRPr="002C67D6">
        <w:rPr>
          <w:rFonts w:asciiTheme="minorHAnsi" w:eastAsia="Times New Roman" w:hAnsiTheme="minorHAnsi"/>
          <w:szCs w:val="24"/>
          <w:lang w:val="es-ES" w:eastAsia="es-CO"/>
        </w:rPr>
        <w:t>sean compensados sus riesgos en caso de que ocurra el evento futuro incierto.</w:t>
      </w:r>
    </w:p>
    <w:p w:rsidR="00B06C0E" w:rsidRPr="002C67D6" w:rsidRDefault="00B06C0E" w:rsidP="00E801CF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B06C0E" w:rsidRPr="002C67D6" w:rsidRDefault="00B06C0E" w:rsidP="00E801CF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  <w:r w:rsidRPr="002C67D6">
        <w:rPr>
          <w:rFonts w:asciiTheme="minorHAnsi" w:eastAsia="Times New Roman" w:hAnsiTheme="minorHAnsi"/>
          <w:szCs w:val="24"/>
          <w:lang w:val="es-ES" w:eastAsia="es-CO"/>
        </w:rPr>
        <w:t xml:space="preserve">De acuerdo con lo anterior, estas empresas sin estar supervisadas, vigiladas o controladas por la Superintendencia Financiera de Colombia, tendrán que cumplir entre otras obligaciones la prueba de adecuación de los pasivos, reconocer las deficiencias en resultados del periodo y valorar los riesgos asociados y los </w:t>
      </w:r>
      <w:r w:rsidRPr="002C67D6">
        <w:rPr>
          <w:rFonts w:asciiTheme="minorHAnsi" w:eastAsia="Times New Roman" w:hAnsiTheme="minorHAnsi"/>
          <w:szCs w:val="24"/>
          <w:lang w:val="es-ES" w:eastAsia="es-CO"/>
        </w:rPr>
        <w:lastRenderedPageBreak/>
        <w:t>componentes de las contingencias de los eventos futuros inciertos.</w:t>
      </w:r>
    </w:p>
    <w:p w:rsidR="00B06C0E" w:rsidRPr="002C67D6" w:rsidRDefault="00B06C0E" w:rsidP="00E801CF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CE0733" w:rsidRDefault="00CE0733" w:rsidP="00E801CF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  <w:r w:rsidRPr="002C67D6">
        <w:rPr>
          <w:rFonts w:asciiTheme="minorHAnsi" w:eastAsia="Times New Roman" w:hAnsiTheme="minorHAnsi"/>
          <w:szCs w:val="24"/>
          <w:lang w:val="es-ES" w:eastAsia="es-CO"/>
        </w:rPr>
        <w:t>No obstante algunas compañías que manejan este producto han argumentado que la Ley 795 de 2003,  establece que los servicios funerarios no constituyen actividad aseguradora; argumento que resultó infructuoso, por cuanto el Consejo Técnico de la Contaduría Pública como ente normalizador en Colombia, aclaró que estas organizaciones deben ceñirse al nuevo marco regulatorio y por lo tanto aplic</w:t>
      </w:r>
      <w:r w:rsidR="00A02D8C" w:rsidRPr="002C67D6">
        <w:rPr>
          <w:rFonts w:asciiTheme="minorHAnsi" w:eastAsia="Times New Roman" w:hAnsiTheme="minorHAnsi"/>
          <w:szCs w:val="24"/>
          <w:lang w:val="es-ES" w:eastAsia="es-CO"/>
        </w:rPr>
        <w:t>ar la NIIF 4 en su contabilidad.</w:t>
      </w:r>
      <w:r w:rsidR="009C2848">
        <w:rPr>
          <w:rFonts w:asciiTheme="minorHAnsi" w:eastAsia="Times New Roman" w:hAnsiTheme="minorHAnsi"/>
          <w:szCs w:val="24"/>
          <w:lang w:val="es-ES" w:eastAsia="es-CO"/>
        </w:rPr>
        <w:t xml:space="preserve"> Gran parte </w:t>
      </w:r>
      <w:r w:rsidR="00A02D8C" w:rsidRPr="002C67D6">
        <w:rPr>
          <w:rFonts w:asciiTheme="minorHAnsi" w:eastAsia="Times New Roman" w:hAnsiTheme="minorHAnsi"/>
          <w:szCs w:val="24"/>
          <w:lang w:val="es-ES" w:eastAsia="es-CO"/>
        </w:rPr>
        <w:t xml:space="preserve">de estas </w:t>
      </w:r>
      <w:r w:rsidR="009C2848">
        <w:rPr>
          <w:rFonts w:asciiTheme="minorHAnsi" w:eastAsia="Times New Roman" w:hAnsiTheme="minorHAnsi"/>
          <w:szCs w:val="24"/>
          <w:lang w:val="es-ES" w:eastAsia="es-CO"/>
        </w:rPr>
        <w:t>compañías</w:t>
      </w:r>
      <w:r w:rsidR="00A02D8C" w:rsidRPr="002C67D6">
        <w:rPr>
          <w:rFonts w:asciiTheme="minorHAnsi" w:eastAsia="Times New Roman" w:hAnsiTheme="minorHAnsi"/>
          <w:szCs w:val="24"/>
          <w:lang w:val="es-ES" w:eastAsia="es-CO"/>
        </w:rPr>
        <w:t xml:space="preserve"> pertenecientes al marco regulatorio establecido por el decreto reglamentario N</w:t>
      </w:r>
      <w:r w:rsidR="009C2848">
        <w:rPr>
          <w:rFonts w:asciiTheme="minorHAnsi" w:eastAsia="Times New Roman" w:hAnsiTheme="minorHAnsi"/>
          <w:szCs w:val="24"/>
          <w:lang w:val="es-ES" w:eastAsia="es-CO"/>
        </w:rPr>
        <w:t>°</w:t>
      </w:r>
      <w:r w:rsidR="002C67D6" w:rsidRPr="002C67D6">
        <w:rPr>
          <w:rFonts w:asciiTheme="minorHAnsi" w:eastAsia="Times New Roman" w:hAnsiTheme="minorHAnsi"/>
          <w:szCs w:val="24"/>
          <w:lang w:val="es-ES" w:eastAsia="es-CO"/>
        </w:rPr>
        <w:t xml:space="preserve">3022 de 2013, tendrán que incurrir en desembolsos asociados a esta nueva estrategia para llevar su contabilidad, por cuanto las secciones de las NIIF para Pymes no contemplan la actividad aseguradora en actividades especiales, </w:t>
      </w:r>
      <w:r w:rsidR="002C67D6">
        <w:rPr>
          <w:rFonts w:asciiTheme="minorHAnsi" w:eastAsia="Times New Roman" w:hAnsiTheme="minorHAnsi"/>
          <w:szCs w:val="24"/>
          <w:lang w:val="es-ES" w:eastAsia="es-CO"/>
        </w:rPr>
        <w:t xml:space="preserve">toda vez que </w:t>
      </w:r>
      <w:r w:rsidR="002C67D6" w:rsidRPr="002C67D6">
        <w:rPr>
          <w:rFonts w:asciiTheme="minorHAnsi" w:eastAsia="Times New Roman" w:hAnsiTheme="minorHAnsi"/>
          <w:szCs w:val="24"/>
          <w:lang w:val="es-ES" w:eastAsia="es-CO"/>
        </w:rPr>
        <w:t>en el mundo se considera que ésta actividad es desarrollada por entidades de interés público.</w:t>
      </w:r>
    </w:p>
    <w:p w:rsidR="00374FE6" w:rsidRDefault="00374FE6" w:rsidP="00E801CF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2C67D6" w:rsidRPr="00374FE6" w:rsidRDefault="009C2848" w:rsidP="00E801CF">
      <w:pPr>
        <w:spacing w:after="0"/>
        <w:rPr>
          <w:rFonts w:asciiTheme="minorHAnsi" w:eastAsia="Times New Roman" w:hAnsiTheme="minorHAnsi"/>
          <w:i/>
          <w:szCs w:val="24"/>
          <w:lang w:val="es-ES" w:eastAsia="es-CO"/>
        </w:rPr>
      </w:pPr>
      <w:r>
        <w:rPr>
          <w:rFonts w:asciiTheme="minorHAnsi" w:eastAsia="Times New Roman" w:hAnsiTheme="minorHAnsi"/>
          <w:szCs w:val="24"/>
          <w:lang w:val="es-ES" w:eastAsia="es-CO"/>
        </w:rPr>
        <w:t xml:space="preserve">A </w:t>
      </w:r>
      <w:r w:rsidR="002C67D6">
        <w:rPr>
          <w:rFonts w:asciiTheme="minorHAnsi" w:eastAsia="Times New Roman" w:hAnsiTheme="minorHAnsi"/>
          <w:szCs w:val="24"/>
          <w:lang w:val="es-ES" w:eastAsia="es-CO"/>
        </w:rPr>
        <w:t>propósito de interés público, será interesante evaluar si esta actividad realizada por entidades</w:t>
      </w:r>
      <w:r w:rsidR="00AB2E76">
        <w:rPr>
          <w:rFonts w:asciiTheme="minorHAnsi" w:eastAsia="Times New Roman" w:hAnsiTheme="minorHAnsi"/>
          <w:szCs w:val="24"/>
          <w:lang w:val="es-ES" w:eastAsia="es-CO"/>
        </w:rPr>
        <w:t xml:space="preserve"> diferentes al sector financiero,</w:t>
      </w:r>
      <w:r w:rsidR="002C67D6">
        <w:rPr>
          <w:rFonts w:asciiTheme="minorHAnsi" w:eastAsia="Times New Roman" w:hAnsiTheme="minorHAnsi"/>
          <w:szCs w:val="24"/>
          <w:lang w:val="es-ES" w:eastAsia="es-CO"/>
        </w:rPr>
        <w:t xml:space="preserve">  </w:t>
      </w:r>
      <w:r w:rsidR="00AB2E76">
        <w:rPr>
          <w:rFonts w:asciiTheme="minorHAnsi" w:eastAsia="Times New Roman" w:hAnsiTheme="minorHAnsi"/>
          <w:szCs w:val="24"/>
          <w:lang w:val="es-ES" w:eastAsia="es-CO"/>
        </w:rPr>
        <w:t xml:space="preserve">está siendo inspeccionada, vigilada y controlada por la Superintendencia Financiera, en disposición de su </w:t>
      </w:r>
      <w:r w:rsidR="00374FE6">
        <w:rPr>
          <w:rFonts w:asciiTheme="minorHAnsi" w:eastAsia="Times New Roman" w:hAnsiTheme="minorHAnsi"/>
          <w:szCs w:val="24"/>
          <w:lang w:val="es-ES" w:eastAsia="es-CO"/>
        </w:rPr>
        <w:t>misión “</w:t>
      </w:r>
      <w:r w:rsidR="00374FE6" w:rsidRPr="00374FE6">
        <w:rPr>
          <w:rFonts w:asciiTheme="minorHAnsi" w:eastAsia="Times New Roman" w:hAnsiTheme="minorHAnsi"/>
          <w:i/>
          <w:szCs w:val="24"/>
          <w:lang w:val="es-ES" w:eastAsia="es-CO"/>
        </w:rPr>
        <w:t>de preservar la confianza pública de los ciudadanos</w:t>
      </w:r>
      <w:r w:rsidR="00374FE6">
        <w:rPr>
          <w:rFonts w:asciiTheme="minorHAnsi" w:eastAsia="Times New Roman" w:hAnsiTheme="minorHAnsi"/>
          <w:i/>
          <w:szCs w:val="24"/>
          <w:lang w:val="es-ES" w:eastAsia="es-CO"/>
        </w:rPr>
        <w:t xml:space="preserve"> y la estabilidad del sistema financiero…” </w:t>
      </w:r>
      <w:r w:rsidR="00374FE6">
        <w:rPr>
          <w:rFonts w:asciiTheme="minorHAnsi" w:eastAsia="Times New Roman" w:hAnsiTheme="minorHAnsi"/>
          <w:szCs w:val="24"/>
          <w:lang w:val="es-ES" w:eastAsia="es-CO"/>
        </w:rPr>
        <w:t xml:space="preserve"> Ejerciendo la inspección, vigilancia y control de quienes realizan la actividad aseguradora en Colombia.</w:t>
      </w:r>
      <w:r w:rsidR="00374FE6">
        <w:rPr>
          <w:rFonts w:asciiTheme="minorHAnsi" w:eastAsia="Times New Roman" w:hAnsiTheme="minorHAnsi"/>
          <w:i/>
          <w:szCs w:val="24"/>
          <w:lang w:val="es-ES" w:eastAsia="es-CO"/>
        </w:rPr>
        <w:t xml:space="preserve"> </w:t>
      </w:r>
    </w:p>
    <w:p w:rsidR="00E801CF" w:rsidRPr="002C67D6" w:rsidRDefault="00E801CF" w:rsidP="00123822">
      <w:pPr>
        <w:spacing w:after="0"/>
        <w:rPr>
          <w:rFonts w:asciiTheme="minorHAnsi" w:eastAsia="Times New Roman" w:hAnsiTheme="minorHAnsi"/>
          <w:szCs w:val="24"/>
          <w:lang w:val="es-ES" w:eastAsia="es-CO"/>
        </w:rPr>
      </w:pPr>
    </w:p>
    <w:p w:rsidR="005957CD" w:rsidRPr="002C67D6" w:rsidRDefault="00CE0733" w:rsidP="00A26D60">
      <w:pPr>
        <w:jc w:val="right"/>
        <w:rPr>
          <w:rFonts w:asciiTheme="minorHAnsi" w:hAnsiTheme="minorHAnsi"/>
          <w:szCs w:val="24"/>
        </w:rPr>
      </w:pPr>
      <w:r w:rsidRPr="002C67D6">
        <w:rPr>
          <w:rFonts w:asciiTheme="minorHAnsi" w:hAnsiTheme="minorHAnsi"/>
          <w:i/>
          <w:iCs/>
          <w:szCs w:val="24"/>
        </w:rPr>
        <w:t>Alba Rocío Carvajal S.</w:t>
      </w:r>
    </w:p>
    <w:sectPr w:rsidR="005957CD" w:rsidRPr="002C67D6" w:rsidSect="00E801CF">
      <w:headerReference w:type="default" r:id="rId9"/>
      <w:footerReference w:type="default" r:id="rId10"/>
      <w:pgSz w:w="12240" w:h="15840"/>
      <w:pgMar w:top="1417" w:right="1701" w:bottom="1135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9A" w:rsidRDefault="0068189A" w:rsidP="00EE7812">
      <w:pPr>
        <w:spacing w:after="0" w:line="240" w:lineRule="auto"/>
      </w:pPr>
      <w:r>
        <w:separator/>
      </w:r>
    </w:p>
  </w:endnote>
  <w:endnote w:type="continuationSeparator" w:id="0">
    <w:p w:rsidR="0068189A" w:rsidRDefault="0068189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9A" w:rsidRDefault="0068189A" w:rsidP="00EE7812">
      <w:pPr>
        <w:spacing w:after="0" w:line="240" w:lineRule="auto"/>
      </w:pPr>
      <w:r>
        <w:separator/>
      </w:r>
    </w:p>
  </w:footnote>
  <w:footnote w:type="continuationSeparator" w:id="0">
    <w:p w:rsidR="0068189A" w:rsidRDefault="0068189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C5E04">
      <w:t xml:space="preserve"> 906</w:t>
    </w:r>
    <w:r w:rsidR="00667D4D">
      <w:t>,</w:t>
    </w:r>
    <w:r w:rsidR="009D09BB">
      <w:t xml:space="preserve"> </w:t>
    </w:r>
    <w:r w:rsidR="00EF535B">
      <w:t>junio</w:t>
    </w:r>
    <w:r w:rsidR="008C5E04">
      <w:t xml:space="preserve">  16</w:t>
    </w:r>
    <w:r w:rsidR="0005771D">
      <w:t xml:space="preserve"> </w:t>
    </w:r>
    <w:r w:rsidR="0080786C">
      <w:t>de 201</w:t>
    </w:r>
    <w:r w:rsidR="00CF1376">
      <w:t>4</w:t>
    </w:r>
  </w:p>
  <w:p w:rsidR="0046164F" w:rsidRDefault="00BE7B2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0F4"/>
    <w:multiLevelType w:val="hybridMultilevel"/>
    <w:tmpl w:val="5F9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2DBA"/>
    <w:multiLevelType w:val="hybridMultilevel"/>
    <w:tmpl w:val="0518B0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15A14"/>
    <w:multiLevelType w:val="hybridMultilevel"/>
    <w:tmpl w:val="F9E44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554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1D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EFE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045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3B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883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822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2B8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283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BF7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5FB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48E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7D6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DE2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A93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2D2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63A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4FE6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0C6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23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064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D9E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23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B99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5AD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ABF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117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192"/>
    <w:rsid w:val="005927A7"/>
    <w:rsid w:val="00592852"/>
    <w:rsid w:val="00592917"/>
    <w:rsid w:val="00592ABE"/>
    <w:rsid w:val="00592E22"/>
    <w:rsid w:val="00592EEF"/>
    <w:rsid w:val="00593247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A4A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63A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48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1D16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0E1"/>
    <w:rsid w:val="00681806"/>
    <w:rsid w:val="0068189A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2A25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5F1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2F9F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1917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8CE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5E04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059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848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9B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2D8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6BCF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2E76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CE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1D8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C0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58F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2F"/>
    <w:rsid w:val="00B33DF9"/>
    <w:rsid w:val="00B3405D"/>
    <w:rsid w:val="00B34182"/>
    <w:rsid w:val="00B3448F"/>
    <w:rsid w:val="00B346AB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3C02"/>
    <w:rsid w:val="00B4425D"/>
    <w:rsid w:val="00B44904"/>
    <w:rsid w:val="00B45086"/>
    <w:rsid w:val="00B450B7"/>
    <w:rsid w:val="00B453D6"/>
    <w:rsid w:val="00B4584D"/>
    <w:rsid w:val="00B45C55"/>
    <w:rsid w:val="00B45D8E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3D7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88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B29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727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D9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733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81A"/>
    <w:rsid w:val="00CE7A67"/>
    <w:rsid w:val="00CE7C66"/>
    <w:rsid w:val="00CE7E44"/>
    <w:rsid w:val="00CF0212"/>
    <w:rsid w:val="00CF023C"/>
    <w:rsid w:val="00CF0AFA"/>
    <w:rsid w:val="00CF1007"/>
    <w:rsid w:val="00CF10F5"/>
    <w:rsid w:val="00CF1376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8F8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FBC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1CF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35B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E88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0C4"/>
    <w:rsid w:val="00F17451"/>
    <w:rsid w:val="00F17AC0"/>
    <w:rsid w:val="00F17B54"/>
    <w:rsid w:val="00F17BF5"/>
    <w:rsid w:val="00F17C66"/>
    <w:rsid w:val="00F17EEE"/>
    <w:rsid w:val="00F17F58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29A5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6A0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4B8"/>
    <w:rsid w:val="00FD0650"/>
    <w:rsid w:val="00FD07AD"/>
    <w:rsid w:val="00FD082E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2E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DF43D07-B9AB-4653-B5BA-F0A1F517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2014-06-16T22:15:00Z</dcterms:created>
  <dcterms:modified xsi:type="dcterms:W3CDTF">2014-06-16T22:15:00Z</dcterms:modified>
</cp:coreProperties>
</file>