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E2" w:rsidRPr="00B33D2F" w:rsidRDefault="001C6BBA" w:rsidP="002D1DE2">
      <w:pPr>
        <w:keepNext/>
        <w:framePr w:dropCap="drop" w:lines="3" w:wrap="auto" w:vAnchor="text" w:hAnchor="text" w:y="1"/>
        <w:spacing w:after="0" w:line="926" w:lineRule="exact"/>
        <w:textAlignment w:val="baseline"/>
        <w:rPr>
          <w:rFonts w:asciiTheme="minorHAnsi" w:hAnsiTheme="minorHAnsi"/>
          <w:position w:val="-8"/>
          <w:sz w:val="24"/>
          <w:szCs w:val="24"/>
        </w:rPr>
      </w:pPr>
      <w:r>
        <w:rPr>
          <w:position w:val="-8"/>
          <w:sz w:val="120"/>
          <w:szCs w:val="120"/>
        </w:rPr>
        <w:t>E</w:t>
      </w:r>
    </w:p>
    <w:p w:rsidR="00C070F6" w:rsidRDefault="001C6BBA" w:rsidP="001C6BBA">
      <w:pPr>
        <w:rPr>
          <w:lang w:val="es-ES"/>
        </w:rPr>
      </w:pPr>
      <w:r>
        <w:rPr>
          <w:rFonts w:cs="Arial"/>
        </w:rPr>
        <w:t xml:space="preserve"> </w:t>
      </w:r>
      <w:r>
        <w:rPr>
          <w:lang w:val="es-ES"/>
        </w:rPr>
        <w:t xml:space="preserve">l pasado 11 de junio el IASB publicó el </w:t>
      </w:r>
      <w:hyperlink r:id="rId9" w:history="1">
        <w:r w:rsidRPr="001C6BBA">
          <w:rPr>
            <w:rStyle w:val="Hipervnculo"/>
            <w:lang w:val="es-ES"/>
          </w:rPr>
          <w:t xml:space="preserve">Exposure Draft </w:t>
        </w:r>
      </w:hyperlink>
      <w:r>
        <w:rPr>
          <w:lang w:val="es-ES"/>
        </w:rPr>
        <w:t xml:space="preserve"> sobre las </w:t>
      </w:r>
      <w:bookmarkStart w:id="0" w:name="_GoBack"/>
      <w:r>
        <w:rPr>
          <w:lang w:val="es-ES"/>
        </w:rPr>
        <w:t>enmiendas propuestas a la NIIF 10 Estados Financieros Consolidados y la NIC 28 Inversiones en asociadas y negocios conjuntos</w:t>
      </w:r>
      <w:bookmarkEnd w:id="0"/>
      <w:r>
        <w:rPr>
          <w:lang w:val="es-ES"/>
        </w:rPr>
        <w:t>,</w:t>
      </w:r>
      <w:r w:rsidR="001A45B2">
        <w:rPr>
          <w:lang w:val="es-ES"/>
        </w:rPr>
        <w:t xml:space="preserve"> este Draft está</w:t>
      </w:r>
      <w:r>
        <w:rPr>
          <w:lang w:val="es-ES"/>
        </w:rPr>
        <w:t xml:space="preserve"> orientado a </w:t>
      </w:r>
      <w:r w:rsidR="001A45B2">
        <w:rPr>
          <w:lang w:val="es-ES"/>
        </w:rPr>
        <w:t>clarificar</w:t>
      </w:r>
      <w:r>
        <w:rPr>
          <w:lang w:val="es-ES"/>
        </w:rPr>
        <w:t xml:space="preserve"> sobre la aplicación de</w:t>
      </w:r>
      <w:r w:rsidR="00B00046">
        <w:rPr>
          <w:lang w:val="es-ES"/>
        </w:rPr>
        <w:t xml:space="preserve"> </w:t>
      </w:r>
      <w:r>
        <w:rPr>
          <w:lang w:val="es-ES"/>
        </w:rPr>
        <w:t>l</w:t>
      </w:r>
      <w:r w:rsidR="00B00046">
        <w:rPr>
          <w:lang w:val="es-ES"/>
        </w:rPr>
        <w:t>os</w:t>
      </w:r>
      <w:r>
        <w:rPr>
          <w:lang w:val="es-ES"/>
        </w:rPr>
        <w:t xml:space="preserve"> requisito</w:t>
      </w:r>
      <w:r w:rsidR="001A45B2">
        <w:rPr>
          <w:lang w:val="es-ES"/>
        </w:rPr>
        <w:t>s</w:t>
      </w:r>
      <w:r>
        <w:rPr>
          <w:lang w:val="es-ES"/>
        </w:rPr>
        <w:t xml:space="preserve"> </w:t>
      </w:r>
      <w:r w:rsidR="001A45B2">
        <w:rPr>
          <w:lang w:val="es-ES"/>
        </w:rPr>
        <w:t>para que</w:t>
      </w:r>
      <w:r>
        <w:rPr>
          <w:lang w:val="es-ES"/>
        </w:rPr>
        <w:t xml:space="preserve"> las entidades de inversión puedan medir sus filiales a valor razonable en lugar de consolidar los estados financieros. </w:t>
      </w:r>
    </w:p>
    <w:p w:rsidR="001C6BBA" w:rsidRDefault="001C6BBA" w:rsidP="001C6BBA">
      <w:pPr>
        <w:rPr>
          <w:lang w:val="es-ES"/>
        </w:rPr>
      </w:pPr>
      <w:r>
        <w:rPr>
          <w:lang w:val="es-ES"/>
        </w:rPr>
        <w:t>Las modificaciones propuestas se orientan a: confirmar que la exención de la presentación de los estados financieros consolidados se sigue aplicando a las filiales de una entidad de inversión que son en sí mismas entidades matrices;  que la entidad de inversión debe consolidar cuando la  filial ofrece servicios relacionados con la inversión en lugar de medir dicha filial a su valor razonable; y simplificar la aplicación del método de la participación de una entidad que no es en sí misma una entidad de inversión, pero que tiene u</w:t>
      </w:r>
      <w:r w:rsidR="00C070F6">
        <w:rPr>
          <w:lang w:val="es-ES"/>
        </w:rPr>
        <w:t xml:space="preserve">na participación en una empresa </w:t>
      </w:r>
      <w:r>
        <w:rPr>
          <w:lang w:val="es-ES"/>
        </w:rPr>
        <w:t>asociada, que es una entidad de inversión.</w:t>
      </w:r>
    </w:p>
    <w:p w:rsidR="001A45B2" w:rsidRDefault="00F91540" w:rsidP="00F31A75">
      <w:pPr>
        <w:rPr>
          <w:rStyle w:val="longtext"/>
          <w:lang w:val="es-ES"/>
        </w:rPr>
      </w:pPr>
      <w:r>
        <w:rPr>
          <w:rStyle w:val="hps"/>
          <w:lang w:val="es-ES"/>
        </w:rPr>
        <w:t>Actualmente</w:t>
      </w:r>
      <w:r w:rsidR="0027669A">
        <w:rPr>
          <w:rStyle w:val="hps"/>
          <w:lang w:val="es-ES"/>
        </w:rPr>
        <w:t xml:space="preserve">, esta condición se establece en la NIIF 10, </w:t>
      </w:r>
      <w:r w:rsidR="0027669A">
        <w:rPr>
          <w:rStyle w:val="longtext"/>
          <w:lang w:val="es-ES"/>
        </w:rPr>
        <w:t xml:space="preserve">la NIC </w:t>
      </w:r>
      <w:r w:rsidR="0027669A">
        <w:rPr>
          <w:rStyle w:val="hps"/>
          <w:lang w:val="es-ES"/>
        </w:rPr>
        <w:t>28 para el caso de las inversiones en asociadas y negocios conjuntos</w:t>
      </w:r>
      <w:r w:rsidR="0027669A">
        <w:rPr>
          <w:rStyle w:val="longtext"/>
          <w:lang w:val="es-ES"/>
        </w:rPr>
        <w:t xml:space="preserve"> </w:t>
      </w:r>
      <w:r w:rsidR="0027669A">
        <w:rPr>
          <w:rStyle w:val="hps"/>
          <w:lang w:val="es-ES"/>
        </w:rPr>
        <w:t>no contiene</w:t>
      </w:r>
      <w:r w:rsidR="0027669A">
        <w:rPr>
          <w:rStyle w:val="longtext"/>
          <w:lang w:val="es-ES"/>
        </w:rPr>
        <w:t xml:space="preserve"> </w:t>
      </w:r>
      <w:r w:rsidR="0027669A">
        <w:rPr>
          <w:rStyle w:val="hps"/>
          <w:lang w:val="es-ES"/>
        </w:rPr>
        <w:t>una declaración explícita</w:t>
      </w:r>
      <w:r w:rsidR="0027669A">
        <w:rPr>
          <w:rStyle w:val="longtext"/>
          <w:lang w:val="es-ES"/>
        </w:rPr>
        <w:t xml:space="preserve"> </w:t>
      </w:r>
      <w:r w:rsidR="0027669A">
        <w:rPr>
          <w:rStyle w:val="hps"/>
          <w:lang w:val="es-ES"/>
        </w:rPr>
        <w:t>equivalente relacionada con</w:t>
      </w:r>
      <w:r w:rsidR="0027669A">
        <w:rPr>
          <w:rStyle w:val="longtext"/>
          <w:lang w:val="es-ES"/>
        </w:rPr>
        <w:t xml:space="preserve"> </w:t>
      </w:r>
      <w:r w:rsidR="0027669A">
        <w:rPr>
          <w:rStyle w:val="hps"/>
          <w:lang w:val="es-ES"/>
        </w:rPr>
        <w:t>la aplicación del</w:t>
      </w:r>
      <w:r w:rsidR="0027669A">
        <w:rPr>
          <w:rStyle w:val="longtext"/>
          <w:lang w:val="es-ES"/>
        </w:rPr>
        <w:t xml:space="preserve"> </w:t>
      </w:r>
      <w:r w:rsidR="00AE45B9">
        <w:rPr>
          <w:rStyle w:val="hps"/>
          <w:lang w:val="es-ES"/>
        </w:rPr>
        <w:t xml:space="preserve">método de </w:t>
      </w:r>
      <w:r w:rsidR="0027669A">
        <w:rPr>
          <w:rStyle w:val="hps"/>
          <w:lang w:val="es-ES"/>
        </w:rPr>
        <w:t>participación</w:t>
      </w:r>
      <w:r w:rsidR="00AE45B9">
        <w:rPr>
          <w:rStyle w:val="hps"/>
          <w:lang w:val="es-ES"/>
        </w:rPr>
        <w:t xml:space="preserve"> patrimonial</w:t>
      </w:r>
      <w:r w:rsidR="0027669A">
        <w:rPr>
          <w:rStyle w:val="hps"/>
          <w:lang w:val="es-ES"/>
        </w:rPr>
        <w:t>,</w:t>
      </w:r>
      <w:r w:rsidR="00E95DC3">
        <w:rPr>
          <w:rStyle w:val="hps"/>
          <w:lang w:val="es-ES"/>
        </w:rPr>
        <w:t xml:space="preserve"> para las participaciones de una entidad de inversión</w:t>
      </w:r>
      <w:r w:rsidR="0027669A">
        <w:rPr>
          <w:rStyle w:val="longtext"/>
          <w:lang w:val="es-ES"/>
        </w:rPr>
        <w:t>.</w:t>
      </w:r>
    </w:p>
    <w:p w:rsidR="00AE45B9" w:rsidRDefault="00EA1EC3" w:rsidP="00F31A75">
      <w:pPr>
        <w:rPr>
          <w:rStyle w:val="hps"/>
          <w:lang w:val="es-ES"/>
        </w:rPr>
      </w:pPr>
      <w:r>
        <w:rPr>
          <w:rStyle w:val="hps"/>
          <w:lang w:val="es-ES"/>
        </w:rPr>
        <w:t>En este orden IASB</w:t>
      </w:r>
      <w:r>
        <w:rPr>
          <w:rStyle w:val="longtext"/>
          <w:lang w:val="es-ES"/>
        </w:rPr>
        <w:t xml:space="preserve"> </w:t>
      </w:r>
      <w:r>
        <w:rPr>
          <w:rStyle w:val="hps"/>
          <w:lang w:val="es-ES"/>
        </w:rPr>
        <w:t>propone</w:t>
      </w:r>
      <w:r>
        <w:rPr>
          <w:rStyle w:val="longtext"/>
          <w:lang w:val="es-ES"/>
        </w:rPr>
        <w:t xml:space="preserve"> </w:t>
      </w:r>
      <w:r>
        <w:rPr>
          <w:rStyle w:val="hps"/>
          <w:lang w:val="es-ES"/>
        </w:rPr>
        <w:t>modificar la NIC</w:t>
      </w:r>
      <w:r>
        <w:rPr>
          <w:rStyle w:val="longtext"/>
          <w:lang w:val="es-ES"/>
        </w:rPr>
        <w:t xml:space="preserve"> </w:t>
      </w:r>
      <w:r>
        <w:rPr>
          <w:rStyle w:val="hps"/>
          <w:lang w:val="es-ES"/>
        </w:rPr>
        <w:t>28</w:t>
      </w:r>
      <w:r>
        <w:rPr>
          <w:rStyle w:val="longtext"/>
          <w:lang w:val="es-ES"/>
        </w:rPr>
        <w:t xml:space="preserve"> </w:t>
      </w:r>
      <w:r>
        <w:rPr>
          <w:rStyle w:val="hps"/>
          <w:lang w:val="es-ES"/>
        </w:rPr>
        <w:t>para proporcionar una alternativa a las entidades de inversión</w:t>
      </w:r>
      <w:r>
        <w:rPr>
          <w:rStyle w:val="longtext"/>
          <w:lang w:val="es-ES"/>
        </w:rPr>
        <w:t xml:space="preserve">, </w:t>
      </w:r>
      <w:r>
        <w:rPr>
          <w:rStyle w:val="hps"/>
          <w:lang w:val="es-ES"/>
        </w:rPr>
        <w:t xml:space="preserve">para </w:t>
      </w:r>
      <w:r w:rsidR="001929C2">
        <w:rPr>
          <w:rStyle w:val="hps"/>
          <w:lang w:val="es-ES"/>
        </w:rPr>
        <w:t xml:space="preserve">que </w:t>
      </w:r>
      <w:r>
        <w:rPr>
          <w:rStyle w:val="hps"/>
          <w:lang w:val="es-ES"/>
        </w:rPr>
        <w:t>en vez de aplicar el</w:t>
      </w:r>
      <w:r>
        <w:rPr>
          <w:rStyle w:val="longtext"/>
          <w:lang w:val="es-ES"/>
        </w:rPr>
        <w:t xml:space="preserve"> </w:t>
      </w:r>
      <w:r>
        <w:rPr>
          <w:rStyle w:val="hps"/>
          <w:lang w:val="es-ES"/>
        </w:rPr>
        <w:t xml:space="preserve">método de participación patrimonial </w:t>
      </w:r>
      <w:r>
        <w:rPr>
          <w:rStyle w:val="longtext"/>
          <w:lang w:val="es-ES"/>
        </w:rPr>
        <w:t xml:space="preserve">se aplique </w:t>
      </w:r>
      <w:r>
        <w:rPr>
          <w:rStyle w:val="hps"/>
          <w:lang w:val="es-ES"/>
        </w:rPr>
        <w:t>el valor razonable,</w:t>
      </w:r>
      <w:r>
        <w:rPr>
          <w:rStyle w:val="longtext"/>
          <w:lang w:val="es-ES"/>
        </w:rPr>
        <w:t xml:space="preserve"> </w:t>
      </w:r>
      <w:r>
        <w:rPr>
          <w:rStyle w:val="hps"/>
          <w:lang w:val="es-ES"/>
        </w:rPr>
        <w:t xml:space="preserve">y </w:t>
      </w:r>
      <w:r>
        <w:rPr>
          <w:rStyle w:val="longtext"/>
          <w:lang w:val="es-ES"/>
        </w:rPr>
        <w:t xml:space="preserve"> </w:t>
      </w:r>
      <w:r w:rsidR="001929C2">
        <w:rPr>
          <w:rStyle w:val="longtext"/>
          <w:lang w:val="es-ES"/>
        </w:rPr>
        <w:t>únicamente se aplique el</w:t>
      </w:r>
      <w:r>
        <w:rPr>
          <w:rStyle w:val="hps"/>
          <w:lang w:val="es-ES"/>
        </w:rPr>
        <w:t xml:space="preserve"> método de </w:t>
      </w:r>
      <w:r>
        <w:rPr>
          <w:rStyle w:val="hps"/>
          <w:lang w:val="es-ES"/>
        </w:rPr>
        <w:lastRenderedPageBreak/>
        <w:t>participación cuando la asociada sea un vehículo de inversión</w:t>
      </w:r>
      <w:r w:rsidR="001929C2">
        <w:rPr>
          <w:rStyle w:val="hps"/>
          <w:lang w:val="es-ES"/>
        </w:rPr>
        <w:t>,</w:t>
      </w:r>
      <w:r>
        <w:rPr>
          <w:rStyle w:val="hps"/>
          <w:lang w:val="es-ES"/>
        </w:rPr>
        <w:t xml:space="preserve"> en la misma línea de la entidad de inversión.</w:t>
      </w:r>
    </w:p>
    <w:p w:rsidR="001929C2" w:rsidRDefault="00F0684F" w:rsidP="006A113C">
      <w:pPr>
        <w:autoSpaceDE w:val="0"/>
        <w:autoSpaceDN w:val="0"/>
        <w:adjustRightInd w:val="0"/>
        <w:spacing w:after="0"/>
        <w:rPr>
          <w:rStyle w:val="hps"/>
          <w:lang w:val="es-ES"/>
        </w:rPr>
      </w:pPr>
      <w:r>
        <w:rPr>
          <w:rStyle w:val="hps"/>
          <w:lang w:val="es-ES"/>
        </w:rPr>
        <w:t>Esta propuesta termina siendo consistente con la modificación realizada a la NIIF 10 en el 2012, no obstante</w:t>
      </w:r>
      <w:r w:rsidR="006A113C">
        <w:rPr>
          <w:rStyle w:val="hps"/>
          <w:lang w:val="es-ES"/>
        </w:rPr>
        <w:t>,</w:t>
      </w:r>
      <w:r>
        <w:rPr>
          <w:rStyle w:val="hps"/>
          <w:lang w:val="es-ES"/>
        </w:rPr>
        <w:t xml:space="preserve"> actualmente las entidades de inversión podrían  aplicar para sus asociadas mediciones de valor razonable si se aplica la excepción de la NIC 28, </w:t>
      </w:r>
      <w:r w:rsidR="00960BEE">
        <w:rPr>
          <w:rStyle w:val="hps"/>
          <w:lang w:val="es-ES"/>
        </w:rPr>
        <w:t>específicamente lo establecido en el párrafo 18</w:t>
      </w:r>
      <w:r w:rsidR="00A379DA">
        <w:rPr>
          <w:rStyle w:val="hps"/>
          <w:lang w:val="es-ES"/>
        </w:rPr>
        <w:t xml:space="preserve">, </w:t>
      </w:r>
      <w:r w:rsidR="00960BEE">
        <w:rPr>
          <w:rStyle w:val="hps"/>
          <w:lang w:val="es-ES"/>
        </w:rPr>
        <w:t xml:space="preserve">el cual establece que </w:t>
      </w:r>
      <w:r w:rsidR="006A113C">
        <w:rPr>
          <w:rStyle w:val="hps"/>
          <w:lang w:val="es-ES"/>
        </w:rPr>
        <w:t>“</w:t>
      </w:r>
      <w:r w:rsidR="00960BEE">
        <w:rPr>
          <w:rStyle w:val="hps"/>
          <w:lang w:val="es-ES"/>
        </w:rPr>
        <w:t>c</w:t>
      </w:r>
      <w:r w:rsidR="00A379DA" w:rsidRPr="00A379DA">
        <w:rPr>
          <w:rStyle w:val="hps"/>
          <w:lang w:val="es-ES"/>
        </w:rPr>
        <w:t>uando una inversión en una asociada o negocio</w:t>
      </w:r>
      <w:r w:rsidR="00A379DA">
        <w:rPr>
          <w:rStyle w:val="hps"/>
          <w:lang w:val="es-ES"/>
        </w:rPr>
        <w:t xml:space="preserve"> conjunto se mantiene directa o </w:t>
      </w:r>
      <w:r w:rsidR="00A379DA" w:rsidRPr="00A379DA">
        <w:rPr>
          <w:rStyle w:val="hps"/>
          <w:lang w:val="es-ES"/>
        </w:rPr>
        <w:t>indirectamente por una entidad que es una organización de capital d</w:t>
      </w:r>
      <w:r w:rsidR="00A379DA">
        <w:rPr>
          <w:rStyle w:val="hps"/>
          <w:lang w:val="es-ES"/>
        </w:rPr>
        <w:t xml:space="preserve">e riesgo o un </w:t>
      </w:r>
      <w:r w:rsidR="00A379DA" w:rsidRPr="00A379DA">
        <w:rPr>
          <w:rStyle w:val="hps"/>
          <w:lang w:val="es-ES"/>
        </w:rPr>
        <w:t>fondo de inversión colectiva, fideicomiso de in</w:t>
      </w:r>
      <w:r w:rsidR="00A379DA">
        <w:rPr>
          <w:rStyle w:val="hps"/>
          <w:lang w:val="es-ES"/>
        </w:rPr>
        <w:t xml:space="preserve">versión u otra entidad análoga, </w:t>
      </w:r>
      <w:r w:rsidR="00A379DA" w:rsidRPr="00A379DA">
        <w:rPr>
          <w:rStyle w:val="hps"/>
          <w:lang w:val="es-ES"/>
        </w:rPr>
        <w:t>incluyendo los fondos de seguro ligados a inversio</w:t>
      </w:r>
      <w:r w:rsidR="00A379DA">
        <w:rPr>
          <w:rStyle w:val="hps"/>
          <w:lang w:val="es-ES"/>
        </w:rPr>
        <w:t xml:space="preserve">nes, la entidad puede optar por </w:t>
      </w:r>
      <w:r w:rsidR="00A379DA" w:rsidRPr="00A379DA">
        <w:rPr>
          <w:rStyle w:val="hps"/>
          <w:lang w:val="es-ES"/>
        </w:rPr>
        <w:t>medir las inversiones en esas asociadas y negocios conjuntos al valor razonable c</w:t>
      </w:r>
      <w:r w:rsidR="00A379DA">
        <w:rPr>
          <w:rStyle w:val="hps"/>
          <w:lang w:val="es-ES"/>
        </w:rPr>
        <w:t xml:space="preserve">on </w:t>
      </w:r>
      <w:r w:rsidR="00A379DA" w:rsidRPr="00A379DA">
        <w:rPr>
          <w:rStyle w:val="hps"/>
          <w:lang w:val="es-ES"/>
        </w:rPr>
        <w:t>cambios en resultados de acuerdo con la NIIF 9</w:t>
      </w:r>
      <w:r w:rsidR="006A113C">
        <w:rPr>
          <w:rStyle w:val="hps"/>
          <w:lang w:val="es-ES"/>
        </w:rPr>
        <w:t>”</w:t>
      </w:r>
      <w:r w:rsidR="00A379DA" w:rsidRPr="00A379DA">
        <w:rPr>
          <w:rStyle w:val="hps"/>
          <w:lang w:val="es-ES"/>
        </w:rPr>
        <w:t>.</w:t>
      </w:r>
    </w:p>
    <w:p w:rsidR="006A113C" w:rsidRDefault="006A113C" w:rsidP="006A113C">
      <w:pPr>
        <w:autoSpaceDE w:val="0"/>
        <w:autoSpaceDN w:val="0"/>
        <w:adjustRightInd w:val="0"/>
        <w:spacing w:after="0"/>
        <w:rPr>
          <w:rStyle w:val="hps"/>
          <w:lang w:val="es-ES"/>
        </w:rPr>
      </w:pPr>
    </w:p>
    <w:p w:rsidR="00572D90" w:rsidRDefault="00F91540" w:rsidP="006A113C">
      <w:pPr>
        <w:autoSpaceDE w:val="0"/>
        <w:autoSpaceDN w:val="0"/>
        <w:adjustRightInd w:val="0"/>
        <w:spacing w:after="0"/>
        <w:rPr>
          <w:rStyle w:val="hps"/>
          <w:lang w:val="es-ES"/>
        </w:rPr>
      </w:pPr>
      <w:r>
        <w:rPr>
          <w:rStyle w:val="hps"/>
          <w:lang w:val="es-ES"/>
        </w:rPr>
        <w:t xml:space="preserve">Lo anterior, corrobora que las Normas Internacionales de Información Financiera, no deben ser vistas ni mucho menos aplicadas como un molde de producción masiva, como lo he dicho en varios escenarios, para implementar </w:t>
      </w:r>
      <w:r w:rsidR="00304E7C">
        <w:rPr>
          <w:rStyle w:val="hps"/>
          <w:lang w:val="es-ES"/>
        </w:rPr>
        <w:t>este modelo internacional</w:t>
      </w:r>
      <w:r>
        <w:rPr>
          <w:rStyle w:val="hps"/>
          <w:lang w:val="es-ES"/>
        </w:rPr>
        <w:t xml:space="preserve"> es importante</w:t>
      </w:r>
      <w:r w:rsidR="00304E7C">
        <w:rPr>
          <w:rStyle w:val="hps"/>
          <w:lang w:val="es-ES"/>
        </w:rPr>
        <w:t>,</w:t>
      </w:r>
      <w:r>
        <w:rPr>
          <w:rStyle w:val="hps"/>
          <w:lang w:val="es-ES"/>
        </w:rPr>
        <w:t xml:space="preserve"> en un 50%</w:t>
      </w:r>
      <w:r w:rsidR="00304E7C">
        <w:rPr>
          <w:rStyle w:val="hps"/>
          <w:lang w:val="es-ES"/>
        </w:rPr>
        <w:t>,</w:t>
      </w:r>
      <w:r>
        <w:rPr>
          <w:rStyle w:val="hps"/>
          <w:lang w:val="es-ES"/>
        </w:rPr>
        <w:t xml:space="preserve"> conocer y manejar con suficiencia los estándares y en 50% entender</w:t>
      </w:r>
      <w:r w:rsidR="00304E7C">
        <w:rPr>
          <w:rStyle w:val="hps"/>
          <w:lang w:val="es-ES"/>
        </w:rPr>
        <w:t xml:space="preserve"> y comprender</w:t>
      </w:r>
      <w:r>
        <w:rPr>
          <w:rStyle w:val="hps"/>
          <w:lang w:val="es-ES"/>
        </w:rPr>
        <w:t xml:space="preserve"> el negocio donde se aplica, de esta manera se </w:t>
      </w:r>
      <w:r w:rsidR="00304E7C">
        <w:rPr>
          <w:rStyle w:val="hps"/>
          <w:lang w:val="es-ES"/>
        </w:rPr>
        <w:t>logrará</w:t>
      </w:r>
      <w:r>
        <w:rPr>
          <w:rStyle w:val="hps"/>
          <w:lang w:val="es-ES"/>
        </w:rPr>
        <w:t xml:space="preserve"> una adecuada elección de las políticas y lineamientos contables</w:t>
      </w:r>
      <w:r w:rsidR="00274DB2">
        <w:rPr>
          <w:rStyle w:val="hps"/>
          <w:lang w:val="es-ES"/>
        </w:rPr>
        <w:t>, ratificando que prevalece el principio sobre la regla</w:t>
      </w:r>
      <w:r>
        <w:rPr>
          <w:rStyle w:val="hps"/>
          <w:lang w:val="es-ES"/>
        </w:rPr>
        <w:t>.</w:t>
      </w:r>
    </w:p>
    <w:p w:rsidR="00304E7C" w:rsidRDefault="00304E7C" w:rsidP="006A113C">
      <w:pPr>
        <w:autoSpaceDE w:val="0"/>
        <w:autoSpaceDN w:val="0"/>
        <w:adjustRightInd w:val="0"/>
        <w:spacing w:after="0"/>
        <w:rPr>
          <w:rStyle w:val="hps"/>
          <w:lang w:val="es-ES"/>
        </w:rPr>
      </w:pPr>
    </w:p>
    <w:p w:rsidR="005957CD" w:rsidRPr="00C070F6" w:rsidRDefault="00C070F6" w:rsidP="00C236D8">
      <w:pPr>
        <w:jc w:val="right"/>
        <w:rPr>
          <w:rFonts w:asciiTheme="minorHAnsi" w:hAnsiTheme="minorHAnsi"/>
          <w:i/>
          <w:sz w:val="24"/>
          <w:szCs w:val="24"/>
        </w:rPr>
      </w:pPr>
      <w:r w:rsidRPr="00C070F6">
        <w:rPr>
          <w:rFonts w:cs="Arial"/>
          <w:i/>
        </w:rPr>
        <w:t>Martha Liliana Arias Bello</w:t>
      </w:r>
    </w:p>
    <w:sectPr w:rsidR="005957CD" w:rsidRPr="00C070F6" w:rsidSect="00E801CF">
      <w:headerReference w:type="default" r:id="rId10"/>
      <w:footerReference w:type="default" r:id="rId11"/>
      <w:pgSz w:w="12240" w:h="15840"/>
      <w:pgMar w:top="1417" w:right="1701" w:bottom="1135"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09D" w:rsidRDefault="0043109D" w:rsidP="00EE7812">
      <w:pPr>
        <w:spacing w:after="0" w:line="240" w:lineRule="auto"/>
      </w:pPr>
      <w:r>
        <w:separator/>
      </w:r>
    </w:p>
  </w:endnote>
  <w:endnote w:type="continuationSeparator" w:id="0">
    <w:p w:rsidR="0043109D" w:rsidRDefault="004310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09D" w:rsidRDefault="0043109D" w:rsidP="00EE7812">
      <w:pPr>
        <w:spacing w:after="0" w:line="240" w:lineRule="auto"/>
      </w:pPr>
      <w:r>
        <w:separator/>
      </w:r>
    </w:p>
  </w:footnote>
  <w:footnote w:type="continuationSeparator" w:id="0">
    <w:p w:rsidR="0043109D" w:rsidRDefault="0043109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D0124C">
      <w:t xml:space="preserve"> </w:t>
    </w:r>
    <w:r w:rsidR="005256EF">
      <w:t>910</w:t>
    </w:r>
    <w:r w:rsidR="00667D4D">
      <w:t>,</w:t>
    </w:r>
    <w:r w:rsidR="005256EF">
      <w:t xml:space="preserve"> junio 24</w:t>
    </w:r>
    <w:r w:rsidR="008B0D75">
      <w:t xml:space="preserve"> </w:t>
    </w:r>
    <w:r w:rsidR="0080786C">
      <w:t>de 201</w:t>
    </w:r>
    <w:r w:rsidR="00CF1376">
      <w:t>4</w:t>
    </w:r>
  </w:p>
  <w:p w:rsidR="0046164F" w:rsidRDefault="006A50B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6360F4"/>
    <w:multiLevelType w:val="hybridMultilevel"/>
    <w:tmpl w:val="5F967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D22DBA"/>
    <w:multiLevelType w:val="hybridMultilevel"/>
    <w:tmpl w:val="0518B0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A315A14"/>
    <w:multiLevelType w:val="hybridMultilevel"/>
    <w:tmpl w:val="F9E444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5"/>
  </w:num>
  <w:num w:numId="5">
    <w:abstractNumId w:val="13"/>
  </w:num>
  <w:num w:numId="6">
    <w:abstractNumId w:val="15"/>
  </w:num>
  <w:num w:numId="7">
    <w:abstractNumId w:val="8"/>
  </w:num>
  <w:num w:numId="8">
    <w:abstractNumId w:val="1"/>
  </w:num>
  <w:num w:numId="9">
    <w:abstractNumId w:val="7"/>
  </w:num>
  <w:num w:numId="10">
    <w:abstractNumId w:val="10"/>
  </w:num>
  <w:num w:numId="11">
    <w:abstractNumId w:val="11"/>
  </w:num>
  <w:num w:numId="12">
    <w:abstractNumId w:val="9"/>
  </w:num>
  <w:num w:numId="13">
    <w:abstractNumId w:val="14"/>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1D"/>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EFE"/>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883"/>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822"/>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2B8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9C2"/>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7DE"/>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45B2"/>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BBA"/>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5FB"/>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C1"/>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DB2"/>
    <w:rsid w:val="00274E01"/>
    <w:rsid w:val="0027637F"/>
    <w:rsid w:val="0027669A"/>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48E"/>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DE2"/>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A93"/>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2D2"/>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7C"/>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63A"/>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0C6"/>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09D"/>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DA"/>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064"/>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D9E"/>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23"/>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8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6EF"/>
    <w:rsid w:val="00525776"/>
    <w:rsid w:val="00526211"/>
    <w:rsid w:val="00526424"/>
    <w:rsid w:val="005265DD"/>
    <w:rsid w:val="00526638"/>
    <w:rsid w:val="005269B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B99"/>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5AD"/>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ABF"/>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2D90"/>
    <w:rsid w:val="005730D6"/>
    <w:rsid w:val="00573117"/>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192"/>
    <w:rsid w:val="005927A7"/>
    <w:rsid w:val="00592852"/>
    <w:rsid w:val="00592917"/>
    <w:rsid w:val="00592ABE"/>
    <w:rsid w:val="00592E22"/>
    <w:rsid w:val="00592EEF"/>
    <w:rsid w:val="00593247"/>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A4A"/>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63A"/>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48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1D16"/>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0E1"/>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13C"/>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0B5"/>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5F1"/>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3CD6"/>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2F9F"/>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527"/>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1917"/>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080"/>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05"/>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8CE"/>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1D6"/>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9C7"/>
    <w:rsid w:val="008A6744"/>
    <w:rsid w:val="008A67AA"/>
    <w:rsid w:val="008A67BE"/>
    <w:rsid w:val="008A724A"/>
    <w:rsid w:val="008A7EBB"/>
    <w:rsid w:val="008B0094"/>
    <w:rsid w:val="008B0D75"/>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EE"/>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059"/>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0F"/>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9B"/>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9DA"/>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6BCF"/>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CE"/>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5B9"/>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1D8"/>
    <w:rsid w:val="00AF6456"/>
    <w:rsid w:val="00AF6B67"/>
    <w:rsid w:val="00AF6F30"/>
    <w:rsid w:val="00AF7486"/>
    <w:rsid w:val="00B0004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214"/>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58F"/>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2F"/>
    <w:rsid w:val="00B33DF9"/>
    <w:rsid w:val="00B3405D"/>
    <w:rsid w:val="00B34182"/>
    <w:rsid w:val="00B3448F"/>
    <w:rsid w:val="00B346AB"/>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5D8E"/>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3D7"/>
    <w:rsid w:val="00B844E0"/>
    <w:rsid w:val="00B847F7"/>
    <w:rsid w:val="00B848C3"/>
    <w:rsid w:val="00B84A94"/>
    <w:rsid w:val="00B84AE5"/>
    <w:rsid w:val="00B84AEA"/>
    <w:rsid w:val="00B84E08"/>
    <w:rsid w:val="00B84F96"/>
    <w:rsid w:val="00B8580C"/>
    <w:rsid w:val="00B8597B"/>
    <w:rsid w:val="00B85DA4"/>
    <w:rsid w:val="00B85E88"/>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0F6"/>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0C45"/>
    <w:rsid w:val="00C21029"/>
    <w:rsid w:val="00C2185D"/>
    <w:rsid w:val="00C21C08"/>
    <w:rsid w:val="00C21C46"/>
    <w:rsid w:val="00C22A96"/>
    <w:rsid w:val="00C2337F"/>
    <w:rsid w:val="00C23579"/>
    <w:rsid w:val="00C235C7"/>
    <w:rsid w:val="00C236D8"/>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727"/>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4D9"/>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81A"/>
    <w:rsid w:val="00CE7A67"/>
    <w:rsid w:val="00CE7C66"/>
    <w:rsid w:val="00CE7E44"/>
    <w:rsid w:val="00CF0212"/>
    <w:rsid w:val="00CF023C"/>
    <w:rsid w:val="00CF0AFA"/>
    <w:rsid w:val="00CF1007"/>
    <w:rsid w:val="00CF10F5"/>
    <w:rsid w:val="00CF1376"/>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24C"/>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1E1"/>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8F8"/>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8B4"/>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FBC"/>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67C5E"/>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1CF"/>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DC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1EC3"/>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35B"/>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E88"/>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84F"/>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0C4"/>
    <w:rsid w:val="00F17451"/>
    <w:rsid w:val="00F17AC0"/>
    <w:rsid w:val="00F17B54"/>
    <w:rsid w:val="00F17BF5"/>
    <w:rsid w:val="00F17C66"/>
    <w:rsid w:val="00F17EEE"/>
    <w:rsid w:val="00F17F58"/>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119"/>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A75"/>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29A5"/>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2C6"/>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6A0"/>
    <w:rsid w:val="00F90833"/>
    <w:rsid w:val="00F9096E"/>
    <w:rsid w:val="00F90E4B"/>
    <w:rsid w:val="00F912A9"/>
    <w:rsid w:val="00F914A5"/>
    <w:rsid w:val="00F91540"/>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823"/>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2EE"/>
    <w:rsid w:val="00FE7DB2"/>
    <w:rsid w:val="00FE7F2A"/>
    <w:rsid w:val="00FE7F37"/>
    <w:rsid w:val="00FF001D"/>
    <w:rsid w:val="00FF009C"/>
    <w:rsid w:val="00FF01AA"/>
    <w:rsid w:val="00FF031A"/>
    <w:rsid w:val="00FF0626"/>
    <w:rsid w:val="00FF0963"/>
    <w:rsid w:val="00FF09A1"/>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 w:type="character" w:customStyle="1" w:styleId="longtext">
    <w:name w:val="long_text"/>
    <w:basedOn w:val="Fuentedeprrafopredeter"/>
    <w:rsid w:val="001A4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 w:type="character" w:customStyle="1" w:styleId="longtext">
    <w:name w:val="long_text"/>
    <w:basedOn w:val="Fuentedeprrafopredeter"/>
    <w:rsid w:val="001A4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92">
      <w:bodyDiv w:val="1"/>
      <w:marLeft w:val="0"/>
      <w:marRight w:val="0"/>
      <w:marTop w:val="0"/>
      <w:marBottom w:val="0"/>
      <w:divBdr>
        <w:top w:val="none" w:sz="0" w:space="0" w:color="auto"/>
        <w:left w:val="none" w:sz="0" w:space="0" w:color="auto"/>
        <w:bottom w:val="none" w:sz="0" w:space="0" w:color="auto"/>
        <w:right w:val="none" w:sz="0" w:space="0" w:color="auto"/>
      </w:divBdr>
      <w:divsChild>
        <w:div w:id="810366716">
          <w:marLeft w:val="0"/>
          <w:marRight w:val="0"/>
          <w:marTop w:val="0"/>
          <w:marBottom w:val="0"/>
          <w:divBdr>
            <w:top w:val="none" w:sz="0" w:space="0" w:color="auto"/>
            <w:left w:val="none" w:sz="0" w:space="0" w:color="auto"/>
            <w:bottom w:val="none" w:sz="0" w:space="0" w:color="auto"/>
            <w:right w:val="none" w:sz="0" w:space="0" w:color="auto"/>
          </w:divBdr>
          <w:divsChild>
            <w:div w:id="19862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20104983">
      <w:bodyDiv w:val="1"/>
      <w:marLeft w:val="0"/>
      <w:marRight w:val="0"/>
      <w:marTop w:val="0"/>
      <w:marBottom w:val="0"/>
      <w:divBdr>
        <w:top w:val="none" w:sz="0" w:space="0" w:color="auto"/>
        <w:left w:val="none" w:sz="0" w:space="0" w:color="auto"/>
        <w:bottom w:val="none" w:sz="0" w:space="0" w:color="auto"/>
        <w:right w:val="none" w:sz="0" w:space="0" w:color="auto"/>
      </w:divBdr>
      <w:divsChild>
        <w:div w:id="1300957787">
          <w:marLeft w:val="0"/>
          <w:marRight w:val="0"/>
          <w:marTop w:val="0"/>
          <w:marBottom w:val="0"/>
          <w:divBdr>
            <w:top w:val="none" w:sz="0" w:space="0" w:color="auto"/>
            <w:left w:val="none" w:sz="0" w:space="0" w:color="auto"/>
            <w:bottom w:val="none" w:sz="0" w:space="0" w:color="auto"/>
            <w:right w:val="none" w:sz="0" w:space="0" w:color="auto"/>
          </w:divBdr>
          <w:divsChild>
            <w:div w:id="10429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26362254">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633243240">
      <w:bodyDiv w:val="1"/>
      <w:marLeft w:val="0"/>
      <w:marRight w:val="0"/>
      <w:marTop w:val="0"/>
      <w:marBottom w:val="0"/>
      <w:divBdr>
        <w:top w:val="none" w:sz="0" w:space="0" w:color="auto"/>
        <w:left w:val="none" w:sz="0" w:space="0" w:color="auto"/>
        <w:bottom w:val="none" w:sz="0" w:space="0" w:color="auto"/>
        <w:right w:val="none" w:sz="0" w:space="0" w:color="auto"/>
      </w:divBdr>
      <w:divsChild>
        <w:div w:id="1322082597">
          <w:marLeft w:val="0"/>
          <w:marRight w:val="0"/>
          <w:marTop w:val="0"/>
          <w:marBottom w:val="0"/>
          <w:divBdr>
            <w:top w:val="none" w:sz="0" w:space="0" w:color="auto"/>
            <w:left w:val="none" w:sz="0" w:space="0" w:color="auto"/>
            <w:bottom w:val="none" w:sz="0" w:space="0" w:color="auto"/>
            <w:right w:val="none" w:sz="0" w:space="0" w:color="auto"/>
          </w:divBdr>
          <w:divsChild>
            <w:div w:id="1633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Current-Projects/IASB-Projects/IFRS-10-IAS-28-Investment-Entities/ED-June-2014/Documents/ED-Investment-Entities-Amendments-IFRS-10-and-IAS-28-June-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EB19336-390D-49E3-AA27-F40A8AF9A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2014-06-24T11:45:00Z</dcterms:created>
  <dcterms:modified xsi:type="dcterms:W3CDTF">2014-06-24T11:45:00Z</dcterms:modified>
</cp:coreProperties>
</file>