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E9" w:rsidRDefault="00447A25" w:rsidP="00561491">
      <w:pPr>
        <w:keepNext/>
        <w:framePr w:dropCap="drop" w:lines="3" w:wrap="auto" w:vAnchor="text" w:hAnchor="text" w:y="1"/>
        <w:spacing w:after="0" w:line="926" w:lineRule="exact"/>
        <w:jc w:val="both"/>
        <w:textAlignment w:val="baseline"/>
        <w:rPr>
          <w:rFonts w:asciiTheme="minorHAnsi" w:hAnsiTheme="minorHAnsi"/>
          <w:position w:val="-8"/>
          <w:sz w:val="24"/>
          <w:szCs w:val="24"/>
        </w:rPr>
      </w:pPr>
      <w:r>
        <w:rPr>
          <w:position w:val="-8"/>
          <w:sz w:val="120"/>
          <w:szCs w:val="120"/>
        </w:rPr>
        <w:t>S</w:t>
      </w:r>
    </w:p>
    <w:p w:rsidR="0077558C" w:rsidRDefault="00447A25" w:rsidP="00257D87">
      <w:pPr>
        <w:rPr>
          <w:rFonts w:cs="Arial"/>
        </w:rPr>
      </w:pPr>
      <w:r>
        <w:rPr>
          <w:rFonts w:cs="Arial"/>
        </w:rPr>
        <w:t>e</w:t>
      </w:r>
      <w:r w:rsidR="00306454" w:rsidRPr="00CA6540">
        <w:rPr>
          <w:rFonts w:cs="Arial"/>
        </w:rPr>
        <w:t xml:space="preserve"> </w:t>
      </w:r>
      <w:r>
        <w:rPr>
          <w:rFonts w:cs="Arial"/>
        </w:rPr>
        <w:t xml:space="preserve">escucha </w:t>
      </w:r>
      <w:r w:rsidR="00D67518">
        <w:rPr>
          <w:rFonts w:cs="Arial"/>
        </w:rPr>
        <w:t xml:space="preserve">en </w:t>
      </w:r>
      <w:r w:rsidR="00982D56">
        <w:rPr>
          <w:rFonts w:cs="Arial"/>
        </w:rPr>
        <w:t xml:space="preserve">algunos ámbitos </w:t>
      </w:r>
      <w:r>
        <w:rPr>
          <w:rFonts w:cs="Arial"/>
        </w:rPr>
        <w:t xml:space="preserve">profesionales, académicos y </w:t>
      </w:r>
      <w:r w:rsidR="00982D56">
        <w:rPr>
          <w:rFonts w:cs="Arial"/>
        </w:rPr>
        <w:t xml:space="preserve">entre </w:t>
      </w:r>
      <w:r>
        <w:rPr>
          <w:rFonts w:cs="Arial"/>
        </w:rPr>
        <w:t>estudiantes de contaduría que el proceso de  convergencia contable en el mundo sigue siendo liderado por IASB y FASB</w:t>
      </w:r>
      <w:r w:rsidR="00D67518">
        <w:rPr>
          <w:rFonts w:cs="Arial"/>
        </w:rPr>
        <w:t>, formalmente</w:t>
      </w:r>
      <w:r>
        <w:rPr>
          <w:rFonts w:cs="Arial"/>
        </w:rPr>
        <w:t xml:space="preserve"> </w:t>
      </w:r>
      <w:r w:rsidR="00D67518">
        <w:rPr>
          <w:rFonts w:cs="Arial"/>
        </w:rPr>
        <w:t xml:space="preserve">desde el </w:t>
      </w:r>
      <w:hyperlink r:id="rId7" w:history="1">
        <w:r w:rsidR="00D67518" w:rsidRPr="00162E2E">
          <w:rPr>
            <w:rStyle w:val="Hipervnculo"/>
            <w:rFonts w:cs="Arial"/>
            <w:i/>
          </w:rPr>
          <w:t>Norwalk Agreement</w:t>
        </w:r>
      </w:hyperlink>
      <w:r w:rsidR="00D67518">
        <w:rPr>
          <w:rFonts w:cs="Arial"/>
        </w:rPr>
        <w:t xml:space="preserve"> (2002)</w:t>
      </w:r>
      <w:r>
        <w:rPr>
          <w:rFonts w:cs="Arial"/>
        </w:rPr>
        <w:t xml:space="preserve"> </w:t>
      </w:r>
      <w:r w:rsidR="00D67518">
        <w:rPr>
          <w:rFonts w:cs="Arial"/>
        </w:rPr>
        <w:t>y e</w:t>
      </w:r>
      <w:r>
        <w:rPr>
          <w:rFonts w:cs="Arial"/>
        </w:rPr>
        <w:t xml:space="preserve">l </w:t>
      </w:r>
      <w:r w:rsidRPr="00D67518">
        <w:rPr>
          <w:rFonts w:cs="Arial"/>
          <w:i/>
        </w:rPr>
        <w:t>Memorand</w:t>
      </w:r>
      <w:r w:rsidR="00D67518" w:rsidRPr="00D67518">
        <w:rPr>
          <w:rFonts w:cs="Arial"/>
          <w:i/>
        </w:rPr>
        <w:t>um of Understanding</w:t>
      </w:r>
      <w:r>
        <w:rPr>
          <w:rFonts w:cs="Arial"/>
        </w:rPr>
        <w:t xml:space="preserve"> (MoU) suscrito e</w:t>
      </w:r>
      <w:r w:rsidR="00D67518">
        <w:rPr>
          <w:rFonts w:cs="Arial"/>
        </w:rPr>
        <w:t>n e</w:t>
      </w:r>
      <w:r>
        <w:rPr>
          <w:rFonts w:cs="Arial"/>
        </w:rPr>
        <w:t xml:space="preserve">l </w:t>
      </w:r>
      <w:hyperlink r:id="rId8" w:history="1">
        <w:r w:rsidRPr="00162E2E">
          <w:rPr>
            <w:rStyle w:val="Hipervnculo"/>
            <w:rFonts w:cs="Arial"/>
          </w:rPr>
          <w:t>200</w:t>
        </w:r>
        <w:r w:rsidR="00D67518" w:rsidRPr="00162E2E">
          <w:rPr>
            <w:rStyle w:val="Hipervnculo"/>
            <w:rFonts w:cs="Arial"/>
          </w:rPr>
          <w:t>6</w:t>
        </w:r>
      </w:hyperlink>
      <w:r>
        <w:rPr>
          <w:rFonts w:cs="Arial"/>
        </w:rPr>
        <w:t xml:space="preserve">, </w:t>
      </w:r>
      <w:r w:rsidR="00D67518">
        <w:rPr>
          <w:rFonts w:cs="Arial"/>
        </w:rPr>
        <w:t xml:space="preserve">y actualizado en </w:t>
      </w:r>
      <w:hyperlink r:id="rId9" w:history="1">
        <w:r w:rsidR="00D67518" w:rsidRPr="00162E2E">
          <w:rPr>
            <w:rStyle w:val="Hipervnculo"/>
            <w:rFonts w:cs="Arial"/>
          </w:rPr>
          <w:t>2008</w:t>
        </w:r>
      </w:hyperlink>
      <w:r w:rsidR="00D67518">
        <w:rPr>
          <w:rFonts w:cs="Arial"/>
        </w:rPr>
        <w:t xml:space="preserve"> y </w:t>
      </w:r>
      <w:hyperlink r:id="rId10" w:history="1">
        <w:r w:rsidR="00D67518" w:rsidRPr="00162E2E">
          <w:rPr>
            <w:rStyle w:val="Hipervnculo"/>
            <w:rFonts w:cs="Arial"/>
          </w:rPr>
          <w:t>2010</w:t>
        </w:r>
      </w:hyperlink>
      <w:r>
        <w:rPr>
          <w:rFonts w:cs="Arial"/>
        </w:rPr>
        <w:t xml:space="preserve">, </w:t>
      </w:r>
      <w:r w:rsidR="0077558C">
        <w:rPr>
          <w:rFonts w:cs="Arial"/>
        </w:rPr>
        <w:t xml:space="preserve">mediante el cual </w:t>
      </w:r>
      <w:r w:rsidR="00B06583">
        <w:rPr>
          <w:rFonts w:cs="Arial"/>
        </w:rPr>
        <w:t>abordaron</w:t>
      </w:r>
      <w:r w:rsidR="0077558C">
        <w:rPr>
          <w:rFonts w:cs="Arial"/>
        </w:rPr>
        <w:t xml:space="preserve"> conjuntamente</w:t>
      </w:r>
      <w:r w:rsidR="00B06583">
        <w:rPr>
          <w:rFonts w:cs="Arial"/>
        </w:rPr>
        <w:t>,</w:t>
      </w:r>
      <w:r w:rsidR="0077558C">
        <w:rPr>
          <w:rFonts w:cs="Arial"/>
        </w:rPr>
        <w:t xml:space="preserve"> </w:t>
      </w:r>
      <w:r w:rsidR="00B06583">
        <w:rPr>
          <w:rFonts w:cs="Arial"/>
        </w:rPr>
        <w:t xml:space="preserve">entre otros temas, </w:t>
      </w:r>
      <w:r w:rsidR="00764EEE">
        <w:rPr>
          <w:rFonts w:cs="Arial"/>
        </w:rPr>
        <w:t xml:space="preserve">instrumentos financieros, costos por préstamos, combinaciones de negocios, presentación de estados financieros, </w:t>
      </w:r>
      <w:r w:rsidR="00B06583">
        <w:rPr>
          <w:rFonts w:cs="Arial"/>
        </w:rPr>
        <w:t xml:space="preserve">valor razonable, beneficios a empleados, </w:t>
      </w:r>
      <w:r w:rsidR="00764EEE">
        <w:rPr>
          <w:rFonts w:cs="Arial"/>
        </w:rPr>
        <w:t xml:space="preserve"> </w:t>
      </w:r>
      <w:r w:rsidR="00D80BB5">
        <w:rPr>
          <w:rFonts w:cs="Arial"/>
        </w:rPr>
        <w:t xml:space="preserve"> </w:t>
      </w:r>
      <w:r w:rsidR="00B06583">
        <w:rPr>
          <w:rFonts w:cs="Arial"/>
        </w:rPr>
        <w:t xml:space="preserve">consolidación, y, </w:t>
      </w:r>
      <w:r w:rsidR="00D80BB5">
        <w:rPr>
          <w:rFonts w:cs="Arial"/>
        </w:rPr>
        <w:t>marco conceptual;</w:t>
      </w:r>
      <w:r w:rsidR="00B06583">
        <w:rPr>
          <w:rFonts w:cs="Arial"/>
        </w:rPr>
        <w:t xml:space="preserve"> </w:t>
      </w:r>
      <w:r w:rsidR="00D80BB5">
        <w:rPr>
          <w:rFonts w:cs="Arial"/>
        </w:rPr>
        <w:t>queda</w:t>
      </w:r>
      <w:r w:rsidR="00764EEE">
        <w:rPr>
          <w:rFonts w:cs="Arial"/>
        </w:rPr>
        <w:t>ndo a finales de 2012</w:t>
      </w:r>
      <w:r w:rsidR="00B06583">
        <w:rPr>
          <w:rFonts w:cs="Arial"/>
        </w:rPr>
        <w:t>,</w:t>
      </w:r>
      <w:r w:rsidR="00764EEE">
        <w:rPr>
          <w:rFonts w:cs="Arial"/>
        </w:rPr>
        <w:t xml:space="preserve"> </w:t>
      </w:r>
      <w:r w:rsidR="00D80BB5">
        <w:rPr>
          <w:rFonts w:cs="Arial"/>
        </w:rPr>
        <w:t>en desarrollo</w:t>
      </w:r>
      <w:r w:rsidR="0093390B">
        <w:rPr>
          <w:rFonts w:cs="Arial"/>
        </w:rPr>
        <w:t>,</w:t>
      </w:r>
      <w:r w:rsidR="00D80BB5">
        <w:rPr>
          <w:rFonts w:cs="Arial"/>
        </w:rPr>
        <w:t xml:space="preserve"> </w:t>
      </w:r>
      <w:r w:rsidR="00B06583">
        <w:rPr>
          <w:rFonts w:cs="Arial"/>
        </w:rPr>
        <w:t>aspectos relacionados con</w:t>
      </w:r>
      <w:r w:rsidR="00D80BB5">
        <w:rPr>
          <w:rFonts w:cs="Arial"/>
        </w:rPr>
        <w:t xml:space="preserve"> </w:t>
      </w:r>
      <w:r w:rsidR="0077558C">
        <w:rPr>
          <w:rFonts w:cs="Arial"/>
        </w:rPr>
        <w:t>arrendamientos,</w:t>
      </w:r>
      <w:r w:rsidR="00D80BB5">
        <w:rPr>
          <w:rFonts w:cs="Arial"/>
        </w:rPr>
        <w:t xml:space="preserve"> </w:t>
      </w:r>
      <w:r w:rsidR="0077558C">
        <w:rPr>
          <w:rFonts w:cs="Arial"/>
        </w:rPr>
        <w:t>instrumentos financieros</w:t>
      </w:r>
      <w:r w:rsidR="00982D56">
        <w:rPr>
          <w:rFonts w:cs="Arial"/>
        </w:rPr>
        <w:t xml:space="preserve">, y, reconocimiento de ingresos, </w:t>
      </w:r>
      <w:r w:rsidR="00B06583">
        <w:rPr>
          <w:rFonts w:cs="Arial"/>
        </w:rPr>
        <w:t xml:space="preserve">de este último </w:t>
      </w:r>
      <w:r w:rsidR="00D562AC">
        <w:rPr>
          <w:rFonts w:cs="Arial"/>
        </w:rPr>
        <w:t>surgió</w:t>
      </w:r>
      <w:r w:rsidR="00B06583">
        <w:rPr>
          <w:rFonts w:cs="Arial"/>
        </w:rPr>
        <w:t xml:space="preserve"> </w:t>
      </w:r>
      <w:r w:rsidR="00982D56">
        <w:rPr>
          <w:rFonts w:cs="Arial"/>
        </w:rPr>
        <w:t xml:space="preserve">el </w:t>
      </w:r>
      <w:r w:rsidR="00764EEE">
        <w:rPr>
          <w:rFonts w:cs="Arial"/>
        </w:rPr>
        <w:t xml:space="preserve">reciente </w:t>
      </w:r>
      <w:r w:rsidR="00982D56">
        <w:rPr>
          <w:rFonts w:cs="Arial"/>
        </w:rPr>
        <w:t>IFRS 15</w:t>
      </w:r>
      <w:r w:rsidR="00162E2E">
        <w:rPr>
          <w:rFonts w:cs="Arial"/>
        </w:rPr>
        <w:t>.</w:t>
      </w:r>
    </w:p>
    <w:p w:rsidR="00911231" w:rsidRDefault="00162E2E" w:rsidP="00257D87">
      <w:pPr>
        <w:rPr>
          <w:rFonts w:cs="Arial"/>
        </w:rPr>
      </w:pPr>
      <w:r>
        <w:rPr>
          <w:rFonts w:cs="Arial"/>
        </w:rPr>
        <w:t xml:space="preserve"> S</w:t>
      </w:r>
      <w:r w:rsidR="00447A25">
        <w:rPr>
          <w:rFonts w:cs="Arial"/>
        </w:rPr>
        <w:t>in embargo, val</w:t>
      </w:r>
      <w:r w:rsidR="00D562AC">
        <w:rPr>
          <w:rFonts w:cs="Arial"/>
        </w:rPr>
        <w:t>dría</w:t>
      </w:r>
      <w:r w:rsidR="00447A25">
        <w:rPr>
          <w:rFonts w:cs="Arial"/>
        </w:rPr>
        <w:t xml:space="preserve"> aclarar que </w:t>
      </w:r>
      <w:r w:rsidR="0093390B">
        <w:rPr>
          <w:rFonts w:cs="Arial"/>
        </w:rPr>
        <w:t xml:space="preserve">el </w:t>
      </w:r>
      <w:r w:rsidR="00447A25">
        <w:rPr>
          <w:rFonts w:cs="Arial"/>
        </w:rPr>
        <w:t xml:space="preserve">acuerdo </w:t>
      </w:r>
      <w:r w:rsidR="0093390B">
        <w:rPr>
          <w:rFonts w:cs="Arial"/>
        </w:rPr>
        <w:t xml:space="preserve">entre FASB e IASB </w:t>
      </w:r>
      <w:r w:rsidR="00447A25">
        <w:rPr>
          <w:rFonts w:cs="Arial"/>
        </w:rPr>
        <w:t xml:space="preserve">culminó a finales de 2012, y el proceso de convergencia es liderado </w:t>
      </w:r>
      <w:r w:rsidR="0077558C">
        <w:rPr>
          <w:rFonts w:cs="Arial"/>
        </w:rPr>
        <w:t xml:space="preserve">desde el año anterior </w:t>
      </w:r>
      <w:r w:rsidR="00447A25">
        <w:rPr>
          <w:rFonts w:cs="Arial"/>
        </w:rPr>
        <w:t>por</w:t>
      </w:r>
      <w:r w:rsidR="0077558C">
        <w:rPr>
          <w:rFonts w:cs="Arial"/>
        </w:rPr>
        <w:t xml:space="preserve"> un cuerpo asesor de IASB, el</w:t>
      </w:r>
      <w:r w:rsidR="00447A25">
        <w:rPr>
          <w:rFonts w:cs="Arial"/>
        </w:rPr>
        <w:t xml:space="preserve"> </w:t>
      </w:r>
      <w:hyperlink r:id="rId11" w:history="1">
        <w:r w:rsidR="00447A25" w:rsidRPr="0077558C">
          <w:rPr>
            <w:rStyle w:val="Hipervnculo"/>
            <w:rFonts w:cs="Arial"/>
            <w:i/>
          </w:rPr>
          <w:t>Accounting Standards Advisory Forum</w:t>
        </w:r>
        <w:r w:rsidR="00447A25" w:rsidRPr="0077558C">
          <w:rPr>
            <w:rStyle w:val="Hipervnculo"/>
            <w:rFonts w:cs="Arial"/>
          </w:rPr>
          <w:t xml:space="preserve"> (ASAF)</w:t>
        </w:r>
      </w:hyperlink>
      <w:r w:rsidR="00447A25">
        <w:rPr>
          <w:rFonts w:cs="Arial"/>
        </w:rPr>
        <w:t xml:space="preserve"> el cual tiene como antecedente el </w:t>
      </w:r>
      <w:r w:rsidR="00447A25" w:rsidRPr="00447A25">
        <w:rPr>
          <w:rFonts w:cs="Arial"/>
          <w:i/>
        </w:rPr>
        <w:t>Strategy Review</w:t>
      </w:r>
      <w:r w:rsidR="00447A25">
        <w:rPr>
          <w:rFonts w:cs="Arial"/>
        </w:rPr>
        <w:t xml:space="preserve"> </w:t>
      </w:r>
      <w:r w:rsidR="0077558C">
        <w:rPr>
          <w:rFonts w:cs="Arial"/>
        </w:rPr>
        <w:t xml:space="preserve">realizado en el </w:t>
      </w:r>
      <w:r w:rsidR="00447A25">
        <w:rPr>
          <w:rFonts w:cs="Arial"/>
        </w:rPr>
        <w:t>2011</w:t>
      </w:r>
      <w:r w:rsidR="00951991">
        <w:rPr>
          <w:rFonts w:cs="Arial"/>
        </w:rPr>
        <w:t xml:space="preserve"> por los fiduciarios de la </w:t>
      </w:r>
      <w:r w:rsidR="00951991" w:rsidRPr="00951991">
        <w:rPr>
          <w:rFonts w:cs="Arial"/>
          <w:i/>
        </w:rPr>
        <w:t>IFRS Foundation</w:t>
      </w:r>
      <w:r w:rsidR="00447A25">
        <w:rPr>
          <w:rFonts w:cs="Arial"/>
        </w:rPr>
        <w:t xml:space="preserve">, donde se planteó la necesidad de ampliar </w:t>
      </w:r>
      <w:r w:rsidR="0077558C">
        <w:rPr>
          <w:rFonts w:cs="Arial"/>
        </w:rPr>
        <w:t xml:space="preserve">el espectro de </w:t>
      </w:r>
      <w:r w:rsidR="00447A25">
        <w:rPr>
          <w:rFonts w:cs="Arial"/>
        </w:rPr>
        <w:t xml:space="preserve">líderes de la convergencia, </w:t>
      </w:r>
      <w:r w:rsidR="0077558C">
        <w:rPr>
          <w:rFonts w:cs="Arial"/>
        </w:rPr>
        <w:t>teniendo en cuenta</w:t>
      </w:r>
      <w:r w:rsidR="00447A25">
        <w:rPr>
          <w:rFonts w:cs="Arial"/>
        </w:rPr>
        <w:t xml:space="preserve"> la </w:t>
      </w:r>
      <w:r w:rsidR="00D562AC">
        <w:rPr>
          <w:rFonts w:cs="Arial"/>
        </w:rPr>
        <w:t>gran</w:t>
      </w:r>
      <w:r w:rsidR="00447A25">
        <w:rPr>
          <w:rFonts w:cs="Arial"/>
        </w:rPr>
        <w:t xml:space="preserve"> acogida que ha tenido </w:t>
      </w:r>
      <w:r w:rsidR="00D562AC">
        <w:rPr>
          <w:rFonts w:cs="Arial"/>
        </w:rPr>
        <w:t xml:space="preserve">en el mundo, el </w:t>
      </w:r>
      <w:r w:rsidR="00257D87">
        <w:rPr>
          <w:rFonts w:cs="Arial"/>
        </w:rPr>
        <w:t>modelo de NIIF</w:t>
      </w:r>
      <w:r w:rsidR="00447A25">
        <w:rPr>
          <w:rFonts w:cs="Arial"/>
        </w:rPr>
        <w:t xml:space="preserve"> plenas </w:t>
      </w:r>
      <w:r w:rsidR="00D562AC">
        <w:rPr>
          <w:rFonts w:cs="Arial"/>
        </w:rPr>
        <w:t>y el de</w:t>
      </w:r>
      <w:r w:rsidR="00257D87">
        <w:rPr>
          <w:rFonts w:cs="Arial"/>
        </w:rPr>
        <w:t xml:space="preserve"> NIIF-</w:t>
      </w:r>
      <w:r w:rsidR="00447A25">
        <w:rPr>
          <w:rFonts w:cs="Arial"/>
        </w:rPr>
        <w:t>PYMEs, lo que implicaba dar mayor participación a otros actores</w:t>
      </w:r>
      <w:r w:rsidR="0093390B">
        <w:rPr>
          <w:rFonts w:cs="Arial"/>
        </w:rPr>
        <w:t xml:space="preserve"> y ampliar la  cobertura internacional</w:t>
      </w:r>
      <w:r w:rsidR="00911231">
        <w:rPr>
          <w:rFonts w:cs="Arial"/>
        </w:rPr>
        <w:t xml:space="preserve">. </w:t>
      </w:r>
    </w:p>
    <w:p w:rsidR="00D5742D" w:rsidRDefault="00911231" w:rsidP="00257D87">
      <w:pPr>
        <w:rPr>
          <w:rFonts w:cs="Arial"/>
        </w:rPr>
      </w:pPr>
      <w:r>
        <w:rPr>
          <w:rFonts w:cs="Arial"/>
        </w:rPr>
        <w:t>E</w:t>
      </w:r>
      <w:r w:rsidR="00447A25">
        <w:rPr>
          <w:rFonts w:cs="Arial"/>
        </w:rPr>
        <w:t xml:space="preserve">n noviembre de 2012 se publicó un documento para comentarios, luego, en febrero de 2013 se hizo pública la </w:t>
      </w:r>
      <w:r>
        <w:rPr>
          <w:rFonts w:cs="Arial"/>
        </w:rPr>
        <w:t xml:space="preserve">invitación </w:t>
      </w:r>
      <w:r>
        <w:rPr>
          <w:rFonts w:cs="Arial"/>
        </w:rPr>
        <w:lastRenderedPageBreak/>
        <w:t xml:space="preserve">a </w:t>
      </w:r>
      <w:r w:rsidR="0093390B">
        <w:rPr>
          <w:rFonts w:cs="Arial"/>
        </w:rPr>
        <w:t xml:space="preserve">interesados para </w:t>
      </w:r>
      <w:r>
        <w:rPr>
          <w:rFonts w:cs="Arial"/>
        </w:rPr>
        <w:t>conformar el foro,</w:t>
      </w:r>
      <w:r w:rsidR="00447A25">
        <w:rPr>
          <w:rFonts w:cs="Arial"/>
        </w:rPr>
        <w:t xml:space="preserve"> y en el mes de marzo fueron designados los primeros miembros de ASAF, doce </w:t>
      </w:r>
      <w:r>
        <w:rPr>
          <w:rFonts w:cs="Arial"/>
        </w:rPr>
        <w:t>en total</w:t>
      </w:r>
      <w:r w:rsidR="00447A25">
        <w:rPr>
          <w:rFonts w:cs="Arial"/>
        </w:rPr>
        <w:t xml:space="preserve">, </w:t>
      </w:r>
      <w:r w:rsidR="00D5742D">
        <w:rPr>
          <w:rFonts w:cs="Arial"/>
        </w:rPr>
        <w:t>además del IASB, quien la dirige.</w:t>
      </w:r>
    </w:p>
    <w:p w:rsidR="00D5742D" w:rsidRPr="00D5742D" w:rsidRDefault="00D5742D" w:rsidP="00257D87">
      <w:pPr>
        <w:rPr>
          <w:rFonts w:cs="Arial"/>
        </w:rPr>
      </w:pPr>
      <w:r>
        <w:rPr>
          <w:rFonts w:cs="Arial"/>
        </w:rPr>
        <w:t>Los miembros</w:t>
      </w:r>
      <w:r w:rsidRPr="00D5742D">
        <w:rPr>
          <w:rFonts w:cs="Arial"/>
        </w:rPr>
        <w:t xml:space="preserve"> </w:t>
      </w:r>
      <w:r w:rsidR="00951991" w:rsidRPr="00D5742D">
        <w:rPr>
          <w:rFonts w:cs="Arial"/>
        </w:rPr>
        <w:t>prov</w:t>
      </w:r>
      <w:r>
        <w:rPr>
          <w:rFonts w:cs="Arial"/>
        </w:rPr>
        <w:t xml:space="preserve">ienen </w:t>
      </w:r>
      <w:r w:rsidR="00E76F6E" w:rsidRPr="00D5742D">
        <w:rPr>
          <w:rFonts w:cs="Arial"/>
        </w:rPr>
        <w:t xml:space="preserve">de los principales emisores de estándares o normas contables en el mundo, a nivel individual o regional, </w:t>
      </w:r>
      <w:r w:rsidR="00D47C11">
        <w:rPr>
          <w:rFonts w:cs="Arial"/>
        </w:rPr>
        <w:t xml:space="preserve">y, </w:t>
      </w:r>
      <w:r w:rsidRPr="00D5742D">
        <w:rPr>
          <w:rFonts w:cs="Arial"/>
        </w:rPr>
        <w:t xml:space="preserve">son los </w:t>
      </w:r>
      <w:r w:rsidR="00731E6C" w:rsidRPr="00D5742D">
        <w:rPr>
          <w:rFonts w:cs="Arial"/>
        </w:rPr>
        <w:t>siguientes: por América,</w:t>
      </w:r>
      <w:r w:rsidR="00D562AC">
        <w:rPr>
          <w:rFonts w:cs="Arial"/>
        </w:rPr>
        <w:t xml:space="preserve"> el</w:t>
      </w:r>
      <w:r w:rsidR="00731E6C" w:rsidRPr="00D5742D">
        <w:rPr>
          <w:rFonts w:cs="Arial"/>
        </w:rPr>
        <w:t xml:space="preserve"> </w:t>
      </w:r>
      <w:r w:rsidR="00731E6C" w:rsidRPr="00D5742D">
        <w:rPr>
          <w:rFonts w:cs="Arial"/>
          <w:i/>
        </w:rPr>
        <w:t xml:space="preserve">Financial Accounting Standards Board </w:t>
      </w:r>
      <w:r w:rsidR="00731E6C" w:rsidRPr="00D5742D">
        <w:rPr>
          <w:rFonts w:cs="Arial"/>
        </w:rPr>
        <w:t>(Estados Unidos)</w:t>
      </w:r>
      <w:r w:rsidR="00E76F6E" w:rsidRPr="00D5742D">
        <w:rPr>
          <w:rFonts w:cs="Arial"/>
          <w:i/>
        </w:rPr>
        <w:t>,</w:t>
      </w:r>
      <w:r w:rsidR="00D562AC" w:rsidRPr="00D562AC">
        <w:rPr>
          <w:rFonts w:cs="Arial"/>
        </w:rPr>
        <w:t>el</w:t>
      </w:r>
      <w:r w:rsidR="00E76F6E" w:rsidRPr="00D5742D">
        <w:rPr>
          <w:rFonts w:cs="Arial"/>
          <w:i/>
        </w:rPr>
        <w:t xml:space="preserve"> </w:t>
      </w:r>
      <w:r w:rsidR="00731E6C" w:rsidRPr="00D5742D">
        <w:rPr>
          <w:rFonts w:cs="Arial"/>
          <w:i/>
        </w:rPr>
        <w:t>Canadian Accounting Standards Board</w:t>
      </w:r>
      <w:r w:rsidR="00E76F6E" w:rsidRPr="00D5742D">
        <w:rPr>
          <w:rFonts w:cs="Arial"/>
          <w:i/>
        </w:rPr>
        <w:t>,</w:t>
      </w:r>
      <w:r w:rsidR="00257D87">
        <w:rPr>
          <w:rFonts w:cs="Arial"/>
          <w:i/>
        </w:rPr>
        <w:t xml:space="preserve"> </w:t>
      </w:r>
      <w:r w:rsidR="00D562AC">
        <w:rPr>
          <w:rFonts w:cs="Arial"/>
        </w:rPr>
        <w:t xml:space="preserve">el </w:t>
      </w:r>
      <w:r w:rsidR="00731E6C" w:rsidRPr="00D5742D">
        <w:rPr>
          <w:rFonts w:cs="Arial"/>
          <w:i/>
        </w:rPr>
        <w:t xml:space="preserve">Group of Latin American Standard Setters (GLASS </w:t>
      </w:r>
      <w:r w:rsidR="00731E6C" w:rsidRPr="00D562AC">
        <w:rPr>
          <w:rFonts w:cs="Arial"/>
        </w:rPr>
        <w:t>o GLENIF</w:t>
      </w:r>
      <w:r w:rsidR="00731E6C" w:rsidRPr="00D5742D">
        <w:rPr>
          <w:rFonts w:cs="Arial"/>
          <w:i/>
        </w:rPr>
        <w:t xml:space="preserve">); </w:t>
      </w:r>
      <w:r w:rsidR="00731E6C" w:rsidRPr="00D5742D">
        <w:rPr>
          <w:rFonts w:cs="Arial"/>
        </w:rPr>
        <w:t>por Europa</w:t>
      </w:r>
      <w:r w:rsidR="00731E6C" w:rsidRPr="00D5742D">
        <w:rPr>
          <w:rFonts w:cs="Arial"/>
          <w:i/>
        </w:rPr>
        <w:t>,</w:t>
      </w:r>
      <w:r w:rsidR="00731E6C" w:rsidRPr="00D562AC">
        <w:rPr>
          <w:rFonts w:cs="Arial"/>
        </w:rPr>
        <w:t xml:space="preserve"> </w:t>
      </w:r>
      <w:r w:rsidR="00D562AC" w:rsidRPr="00D562AC">
        <w:rPr>
          <w:rFonts w:cs="Arial"/>
        </w:rPr>
        <w:t xml:space="preserve">el </w:t>
      </w:r>
      <w:r w:rsidR="00731E6C" w:rsidRPr="00D5742D">
        <w:rPr>
          <w:rFonts w:cs="Arial"/>
          <w:i/>
        </w:rPr>
        <w:t>Accou</w:t>
      </w:r>
      <w:bookmarkStart w:id="0" w:name="_GoBack"/>
      <w:bookmarkEnd w:id="0"/>
      <w:r w:rsidR="00731E6C" w:rsidRPr="00D5742D">
        <w:rPr>
          <w:rFonts w:cs="Arial"/>
          <w:i/>
        </w:rPr>
        <w:t xml:space="preserve">nting Standards Committee </w:t>
      </w:r>
      <w:r w:rsidR="00731E6C" w:rsidRPr="00D5742D">
        <w:rPr>
          <w:rFonts w:cs="Arial"/>
        </w:rPr>
        <w:t>(Alemania)</w:t>
      </w:r>
      <w:r w:rsidR="00731E6C" w:rsidRPr="00D5742D">
        <w:rPr>
          <w:rFonts w:cs="Arial"/>
          <w:i/>
        </w:rPr>
        <w:t>,</w:t>
      </w:r>
      <w:r w:rsidR="00D562AC">
        <w:rPr>
          <w:rFonts w:cs="Arial"/>
          <w:i/>
        </w:rPr>
        <w:t xml:space="preserve"> </w:t>
      </w:r>
      <w:r w:rsidR="00D562AC" w:rsidRPr="00D562AC">
        <w:rPr>
          <w:rFonts w:cs="Arial"/>
        </w:rPr>
        <w:t>el</w:t>
      </w:r>
      <w:r w:rsidR="00731E6C" w:rsidRPr="00D5742D">
        <w:rPr>
          <w:rFonts w:cs="Arial"/>
          <w:i/>
        </w:rPr>
        <w:t xml:space="preserve"> European Financial Reporting Advisory Group (EFRAG),</w:t>
      </w:r>
      <w:r w:rsidR="00D562AC" w:rsidRPr="00D562AC">
        <w:rPr>
          <w:rFonts w:cs="Arial"/>
        </w:rPr>
        <w:t>el</w:t>
      </w:r>
      <w:r w:rsidR="00731E6C" w:rsidRPr="00D5742D">
        <w:rPr>
          <w:rFonts w:cs="Arial"/>
          <w:i/>
        </w:rPr>
        <w:t xml:space="preserve"> Spanish Accounting and Auditing Institute, </w:t>
      </w:r>
      <w:r w:rsidR="00731E6C" w:rsidRPr="00D5742D">
        <w:rPr>
          <w:rFonts w:cs="Arial"/>
        </w:rPr>
        <w:t>y el</w:t>
      </w:r>
      <w:r w:rsidR="00731E6C" w:rsidRPr="00D5742D">
        <w:rPr>
          <w:rFonts w:cs="Arial"/>
          <w:i/>
        </w:rPr>
        <w:t xml:space="preserve"> United Kingdom Financial Reporting Council; por Asia y Oceanía, </w:t>
      </w:r>
      <w:r w:rsidR="00951991" w:rsidRPr="00D5742D">
        <w:rPr>
          <w:rFonts w:cs="Arial"/>
        </w:rPr>
        <w:t xml:space="preserve">el </w:t>
      </w:r>
      <w:r w:rsidR="00731E6C" w:rsidRPr="00D5742D">
        <w:rPr>
          <w:rFonts w:cs="Arial"/>
          <w:i/>
        </w:rPr>
        <w:t>Accounting Standards Board of Japan,</w:t>
      </w:r>
      <w:r w:rsidR="00951991" w:rsidRPr="00D5742D">
        <w:rPr>
          <w:rFonts w:cs="Arial"/>
          <w:i/>
        </w:rPr>
        <w:t xml:space="preserve"> </w:t>
      </w:r>
      <w:r w:rsidR="00951991" w:rsidRPr="00D5742D">
        <w:rPr>
          <w:rFonts w:cs="Arial"/>
        </w:rPr>
        <w:t>el</w:t>
      </w:r>
      <w:r w:rsidR="00951991" w:rsidRPr="00D5742D">
        <w:rPr>
          <w:rFonts w:cs="Arial"/>
          <w:i/>
        </w:rPr>
        <w:t xml:space="preserve"> </w:t>
      </w:r>
      <w:r w:rsidR="00731E6C" w:rsidRPr="00D5742D">
        <w:rPr>
          <w:rFonts w:cs="Arial"/>
          <w:i/>
        </w:rPr>
        <w:t xml:space="preserve"> Australian Accounting Standards Board,</w:t>
      </w:r>
      <w:r w:rsidR="00D562AC">
        <w:rPr>
          <w:rFonts w:cs="Arial"/>
          <w:i/>
        </w:rPr>
        <w:t xml:space="preserve"> </w:t>
      </w:r>
      <w:r w:rsidR="00951991" w:rsidRPr="00D5742D">
        <w:rPr>
          <w:rFonts w:cs="Arial"/>
        </w:rPr>
        <w:t>el</w:t>
      </w:r>
      <w:r w:rsidR="00951991" w:rsidRPr="00D5742D">
        <w:rPr>
          <w:rFonts w:cs="Arial"/>
          <w:i/>
        </w:rPr>
        <w:t xml:space="preserve"> </w:t>
      </w:r>
      <w:r w:rsidR="00731E6C" w:rsidRPr="00D5742D">
        <w:rPr>
          <w:rFonts w:cs="Arial"/>
          <w:i/>
        </w:rPr>
        <w:t xml:space="preserve"> Chinese Accounting Standards Committee</w:t>
      </w:r>
      <w:r w:rsidRPr="00D5742D">
        <w:rPr>
          <w:rFonts w:cs="Arial"/>
          <w:i/>
        </w:rPr>
        <w:t xml:space="preserve">, </w:t>
      </w:r>
      <w:r w:rsidR="00951991" w:rsidRPr="00D5742D">
        <w:rPr>
          <w:rFonts w:cs="Arial"/>
        </w:rPr>
        <w:t>el</w:t>
      </w:r>
      <w:r w:rsidR="00731E6C" w:rsidRPr="00D5742D">
        <w:rPr>
          <w:rFonts w:cs="Arial"/>
        </w:rPr>
        <w:t xml:space="preserve"> </w:t>
      </w:r>
      <w:r w:rsidR="00731E6C" w:rsidRPr="00D5742D">
        <w:rPr>
          <w:rFonts w:cs="Arial"/>
          <w:i/>
        </w:rPr>
        <w:t xml:space="preserve">Asian-Oceanian Standard Setters Group (AOSSG), </w:t>
      </w:r>
      <w:r w:rsidR="00731E6C" w:rsidRPr="00D5742D">
        <w:rPr>
          <w:rFonts w:cs="Arial"/>
        </w:rPr>
        <w:t>represent</w:t>
      </w:r>
      <w:r w:rsidR="00951991" w:rsidRPr="00D5742D">
        <w:rPr>
          <w:rFonts w:cs="Arial"/>
        </w:rPr>
        <w:t xml:space="preserve">ado por el </w:t>
      </w:r>
      <w:r w:rsidR="00731E6C" w:rsidRPr="00D5742D">
        <w:rPr>
          <w:rFonts w:cs="Arial"/>
          <w:i/>
        </w:rPr>
        <w:t xml:space="preserve">Hong Kong Institute of Certified Public Accountants; </w:t>
      </w:r>
      <w:r w:rsidR="00731E6C" w:rsidRPr="00D5742D">
        <w:rPr>
          <w:rFonts w:cs="Arial"/>
        </w:rPr>
        <w:t>y</w:t>
      </w:r>
      <w:r w:rsidR="00951991" w:rsidRPr="00D5742D">
        <w:rPr>
          <w:rFonts w:cs="Arial"/>
        </w:rPr>
        <w:t>,</w:t>
      </w:r>
      <w:r w:rsidR="00731E6C" w:rsidRPr="00D5742D">
        <w:rPr>
          <w:rFonts w:cs="Arial"/>
        </w:rPr>
        <w:t xml:space="preserve"> por Africa</w:t>
      </w:r>
      <w:r w:rsidRPr="00D5742D">
        <w:rPr>
          <w:rFonts w:cs="Arial"/>
        </w:rPr>
        <w:t>,</w:t>
      </w:r>
      <w:r w:rsidR="00731E6C" w:rsidRPr="00D5742D">
        <w:rPr>
          <w:rFonts w:cs="Arial"/>
          <w:i/>
        </w:rPr>
        <w:t xml:space="preserve"> </w:t>
      </w:r>
      <w:r w:rsidR="00951991" w:rsidRPr="00D5742D">
        <w:rPr>
          <w:rFonts w:cs="Arial"/>
          <w:i/>
        </w:rPr>
        <w:t xml:space="preserve"> </w:t>
      </w:r>
      <w:r w:rsidR="00951991" w:rsidRPr="00D5742D">
        <w:rPr>
          <w:rFonts w:cs="Arial"/>
        </w:rPr>
        <w:t>el</w:t>
      </w:r>
      <w:r w:rsidR="00951991" w:rsidRPr="00D5742D">
        <w:rPr>
          <w:rFonts w:cs="Arial"/>
          <w:i/>
        </w:rPr>
        <w:t xml:space="preserve"> South African Financial Reporting Standards Council, </w:t>
      </w:r>
      <w:r w:rsidR="00951991" w:rsidRPr="00D5742D">
        <w:rPr>
          <w:rFonts w:cs="Arial"/>
        </w:rPr>
        <w:t>con el apoyo de la</w:t>
      </w:r>
      <w:r w:rsidR="00951991" w:rsidRPr="00D5742D">
        <w:rPr>
          <w:rFonts w:cs="Arial"/>
          <w:i/>
        </w:rPr>
        <w:t xml:space="preserve"> Pan African Federation of Accountants (PAFA</w:t>
      </w:r>
      <w:r w:rsidR="00D562AC">
        <w:rPr>
          <w:rFonts w:cs="Arial"/>
          <w:i/>
        </w:rPr>
        <w:t>)</w:t>
      </w:r>
      <w:r w:rsidR="00911231" w:rsidRPr="00D5742D">
        <w:rPr>
          <w:rFonts w:cs="Arial"/>
        </w:rPr>
        <w:t>.</w:t>
      </w:r>
      <w:r w:rsidR="00951991" w:rsidRPr="00D5742D">
        <w:rPr>
          <w:rFonts w:cs="Arial"/>
        </w:rPr>
        <w:t xml:space="preserve"> </w:t>
      </w:r>
    </w:p>
    <w:p w:rsidR="00447A25" w:rsidRDefault="00951991" w:rsidP="00257D87">
      <w:pPr>
        <w:rPr>
          <w:rFonts w:cs="Arial"/>
        </w:rPr>
      </w:pPr>
      <w:r>
        <w:rPr>
          <w:rFonts w:cs="Arial"/>
        </w:rPr>
        <w:t xml:space="preserve">Colombia </w:t>
      </w:r>
      <w:r w:rsidR="00D5742D">
        <w:rPr>
          <w:rFonts w:cs="Arial"/>
        </w:rPr>
        <w:t xml:space="preserve">participa indirectamente </w:t>
      </w:r>
      <w:r w:rsidR="00D47C11">
        <w:rPr>
          <w:rFonts w:cs="Arial"/>
        </w:rPr>
        <w:t xml:space="preserve">en ASAF, </w:t>
      </w:r>
      <w:r w:rsidR="00D5742D">
        <w:rPr>
          <w:rFonts w:cs="Arial"/>
        </w:rPr>
        <w:t xml:space="preserve">a través </w:t>
      </w:r>
      <w:r>
        <w:rPr>
          <w:rFonts w:cs="Arial"/>
        </w:rPr>
        <w:t xml:space="preserve">de </w:t>
      </w:r>
      <w:hyperlink r:id="rId12" w:history="1">
        <w:r w:rsidRPr="00D47C11">
          <w:rPr>
            <w:rStyle w:val="Hipervnculo"/>
            <w:rFonts w:cs="Arial"/>
          </w:rPr>
          <w:t>GLENIF</w:t>
        </w:r>
      </w:hyperlink>
      <w:r w:rsidR="00D5742D">
        <w:rPr>
          <w:rFonts w:cs="Arial"/>
        </w:rPr>
        <w:t xml:space="preserve">, </w:t>
      </w:r>
      <w:r w:rsidR="00D47C11">
        <w:rPr>
          <w:rFonts w:cs="Arial"/>
        </w:rPr>
        <w:t>estableci</w:t>
      </w:r>
      <w:r w:rsidR="002F3CE3">
        <w:rPr>
          <w:rFonts w:cs="Arial"/>
        </w:rPr>
        <w:t>do</w:t>
      </w:r>
      <w:r w:rsidR="00D47C11">
        <w:rPr>
          <w:rFonts w:cs="Arial"/>
        </w:rPr>
        <w:t xml:space="preserve"> en junio de 2011, </w:t>
      </w:r>
      <w:r w:rsidR="002F3CE3">
        <w:rPr>
          <w:rFonts w:cs="Arial"/>
        </w:rPr>
        <w:t xml:space="preserve">y conformado </w:t>
      </w:r>
      <w:r w:rsidR="003A3D11">
        <w:rPr>
          <w:rFonts w:cs="Arial"/>
        </w:rPr>
        <w:t xml:space="preserve">por miembros </w:t>
      </w:r>
      <w:r w:rsidR="00D47C11">
        <w:rPr>
          <w:rFonts w:cs="Arial"/>
        </w:rPr>
        <w:t>de 17 países de Latinoamérica, siendo el CTCP el representante por Colombia.</w:t>
      </w:r>
    </w:p>
    <w:p w:rsidR="00E76F6E" w:rsidRDefault="00D47C11" w:rsidP="00257D87">
      <w:pPr>
        <w:rPr>
          <w:rFonts w:cs="Arial"/>
        </w:rPr>
      </w:pPr>
      <w:r>
        <w:rPr>
          <w:rFonts w:cs="Arial"/>
        </w:rPr>
        <w:t xml:space="preserve">Finalmente, </w:t>
      </w:r>
      <w:r w:rsidR="00D5742D">
        <w:rPr>
          <w:rFonts w:cs="Arial"/>
        </w:rPr>
        <w:t xml:space="preserve">ASAF </w:t>
      </w:r>
      <w:r>
        <w:rPr>
          <w:rFonts w:cs="Arial"/>
        </w:rPr>
        <w:t xml:space="preserve">viene manteniendo reuniones de manera trimestral; y </w:t>
      </w:r>
      <w:r w:rsidR="00E76F6E">
        <w:rPr>
          <w:rFonts w:cs="Arial"/>
        </w:rPr>
        <w:t>estableció que sea monitoreado y revisada su composición cada dos años</w:t>
      </w:r>
      <w:r w:rsidR="0093390B">
        <w:rPr>
          <w:rFonts w:cs="Arial"/>
        </w:rPr>
        <w:t xml:space="preserve">, es decir, </w:t>
      </w:r>
      <w:r>
        <w:rPr>
          <w:rFonts w:cs="Arial"/>
        </w:rPr>
        <w:t xml:space="preserve">en el primer semestre de </w:t>
      </w:r>
      <w:r w:rsidR="0093390B">
        <w:rPr>
          <w:rFonts w:cs="Arial"/>
        </w:rPr>
        <w:t>2015</w:t>
      </w:r>
      <w:r w:rsidR="00911231">
        <w:rPr>
          <w:rFonts w:cs="Arial"/>
        </w:rPr>
        <w:t>.</w:t>
      </w:r>
    </w:p>
    <w:p w:rsidR="00D67518" w:rsidRPr="00CA6540" w:rsidRDefault="00306454" w:rsidP="00561491">
      <w:pPr>
        <w:jc w:val="right"/>
      </w:pPr>
      <w:r w:rsidRPr="00CA6540">
        <w:rPr>
          <w:rFonts w:cs="Arial"/>
        </w:rPr>
        <w:t>Néstor Javier Lizarazo Sierra.</w:t>
      </w:r>
    </w:p>
    <w:sectPr w:rsidR="00D67518" w:rsidRPr="00CA6540">
      <w:headerReference w:type="default" r:id="rId13"/>
      <w:footerReference w:type="default" r:id="rId14"/>
      <w:pgSz w:w="12240" w:h="15840"/>
      <w:pgMar w:top="1417" w:right="1701" w:bottom="1135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B5" w:rsidRDefault="002953B5">
      <w:pPr>
        <w:spacing w:after="0" w:line="240" w:lineRule="auto"/>
      </w:pPr>
      <w:r>
        <w:separator/>
      </w:r>
    </w:p>
  </w:endnote>
  <w:endnote w:type="continuationSeparator" w:id="0">
    <w:p w:rsidR="002953B5" w:rsidRDefault="0029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E9" w:rsidRDefault="00306454">
    <w:pPr>
      <w:pStyle w:val="Piedepgina"/>
      <w:jc w:val="center"/>
    </w:pPr>
    <w:r>
      <w:rPr>
        <w:i/>
      </w:rPr>
      <w:t xml:space="preserve">Las opiniones expresadas en </w:t>
    </w:r>
    <w:r>
      <w:rPr>
        <w:rFonts w:ascii="Kristen ITC" w:hAnsi="Kristen ITC"/>
        <w:i/>
      </w:rPr>
      <w:t>Contrapartida</w:t>
    </w:r>
    <w:r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B5" w:rsidRDefault="002953B5">
      <w:pPr>
        <w:spacing w:after="0" w:line="240" w:lineRule="auto"/>
      </w:pPr>
      <w:r>
        <w:separator/>
      </w:r>
    </w:p>
  </w:footnote>
  <w:footnote w:type="continuationSeparator" w:id="0">
    <w:p w:rsidR="002953B5" w:rsidRDefault="0029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E9" w:rsidRDefault="0030645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>
      <w:rPr>
        <w:rFonts w:ascii="Kristen ITC" w:hAnsi="Kristen ITC"/>
        <w:b/>
        <w:bCs/>
        <w:sz w:val="28"/>
        <w:szCs w:val="28"/>
      </w:rPr>
      <w:t>Contrapartida</w:t>
    </w:r>
  </w:p>
  <w:p w:rsidR="00AF55E9" w:rsidRDefault="00306454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AF55E9" w:rsidRDefault="00306454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9</w:t>
    </w:r>
    <w:r w:rsidR="00257D87">
      <w:t>31</w:t>
    </w:r>
    <w:r>
      <w:t xml:space="preserve">, </w:t>
    </w:r>
    <w:r w:rsidR="002F3CE3">
      <w:t>julio</w:t>
    </w:r>
    <w:r>
      <w:t xml:space="preserve"> </w:t>
    </w:r>
    <w:r w:rsidR="00257D87">
      <w:t>28</w:t>
    </w:r>
    <w:r>
      <w:t xml:space="preserve"> de 2014</w:t>
    </w:r>
  </w:p>
  <w:p w:rsidR="00AF55E9" w:rsidRDefault="00257D87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86325" cy="1038225"/>
              <wp:effectExtent l="0" t="1466850" r="0" b="1285875"/>
              <wp:wrapNone/>
              <wp:docPr id="1" name="30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86325" cy="10382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D87" w:rsidRDefault="00257D87" w:rsidP="00257D8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Kristen ITC" w:hAnsi="Kristen ITC"/>
                              <w:color w:val="C0C0C0"/>
                              <w:sz w:val="5"/>
                              <w:szCs w:val="5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Contrapartida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074" o:spid="_x0000_s1026" type="#_x0000_t202" style="position:absolute;left:0;text-align:left;margin-left:0;margin-top:0;width:384.75pt;height:81.75pt;rotation:-45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" filled="f" stroked="f">
              <v:stroke joinstyle="round"/>
              <o:lock v:ext="edit" shapetype="t"/>
              <v:textbox style="mso-fit-shape-to-text:t">
                <w:txbxContent>
                  <w:p w:rsidR="00257D87" w:rsidRDefault="00257D87" w:rsidP="00257D8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Kristen ITC" w:hAnsi="Kristen ITC"/>
                        <w:color w:val="C0C0C0"/>
                        <w:sz w:val="5"/>
                        <w:szCs w:val="5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Contrapartida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6654251E"/>
    <w:lvl w:ilvl="0" w:tplc="0B261F7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611CD11A"/>
    <w:lvl w:ilvl="0" w:tplc="AF0E43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A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D"/>
    <w:multiLevelType w:val="hybridMultilevel"/>
    <w:tmpl w:val="5F967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518B038"/>
    <w:lvl w:ilvl="0" w:tplc="0C0A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F9E4445E"/>
    <w:lvl w:ilvl="0" w:tplc="0C0A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815EF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E9"/>
    <w:rsid w:val="00162E2E"/>
    <w:rsid w:val="001E49DB"/>
    <w:rsid w:val="00257D87"/>
    <w:rsid w:val="002953B5"/>
    <w:rsid w:val="002B62A5"/>
    <w:rsid w:val="002F3CE3"/>
    <w:rsid w:val="00306454"/>
    <w:rsid w:val="003A3D11"/>
    <w:rsid w:val="003B34C2"/>
    <w:rsid w:val="00447A25"/>
    <w:rsid w:val="00540B81"/>
    <w:rsid w:val="00561491"/>
    <w:rsid w:val="005D700C"/>
    <w:rsid w:val="00731E6C"/>
    <w:rsid w:val="00764EEE"/>
    <w:rsid w:val="0077558C"/>
    <w:rsid w:val="008C168A"/>
    <w:rsid w:val="008D50FE"/>
    <w:rsid w:val="00911231"/>
    <w:rsid w:val="0093390B"/>
    <w:rsid w:val="00951991"/>
    <w:rsid w:val="00982D56"/>
    <w:rsid w:val="00983B6F"/>
    <w:rsid w:val="00AF55E9"/>
    <w:rsid w:val="00B06583"/>
    <w:rsid w:val="00B12FD6"/>
    <w:rsid w:val="00CA6540"/>
    <w:rsid w:val="00D47C11"/>
    <w:rsid w:val="00D562AC"/>
    <w:rsid w:val="00D5742D"/>
    <w:rsid w:val="00D67518"/>
    <w:rsid w:val="00D80BB5"/>
    <w:rsid w:val="00E7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5795C8-BBE5-45E2-831F-D80A2FE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rPr>
      <w:color w:val="0000FF"/>
      <w:u w:val="single"/>
    </w:rPr>
  </w:style>
  <w:style w:type="character" w:styleId="nfasis">
    <w:name w:val="Emphasis"/>
    <w:uiPriority w:val="20"/>
    <w:qFormat/>
    <w:rPr>
      <w:i/>
      <w:iCs/>
    </w:rPr>
  </w:style>
  <w:style w:type="paragraph" w:styleId="Textonotaalfinal">
    <w:name w:val="endnote text"/>
    <w:basedOn w:val="Normal"/>
    <w:link w:val="TextonotaalfinalCar"/>
    <w:uiPriority w:val="9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Pr>
      <w:lang w:eastAsia="en-US"/>
    </w:rPr>
  </w:style>
  <w:style w:type="character" w:styleId="Refdenotaalfinal">
    <w:name w:val="endnote reference"/>
    <w:uiPriority w:val="99"/>
    <w:rPr>
      <w:vertAlign w:val="superscript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</w:style>
  <w:style w:type="paragraph" w:styleId="Textonotapie">
    <w:name w:val="footnote text"/>
    <w:basedOn w:val="Normal"/>
    <w:link w:val="TextonotapieCar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Pr>
      <w:lang w:eastAsia="en-US"/>
    </w:rPr>
  </w:style>
  <w:style w:type="character" w:styleId="Refdenotaalpie">
    <w:name w:val="footnote reference"/>
    <w:rPr>
      <w:vertAlign w:val="superscript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character" w:customStyle="1" w:styleId="Ttulo1Car">
    <w:name w:val="Título 1 Car"/>
    <w:link w:val="Ttulo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Pr>
      <w:b/>
      <w:bCs/>
      <w:lang w:eastAsia="en-US"/>
    </w:rPr>
  </w:style>
  <w:style w:type="character" w:customStyle="1" w:styleId="Ttulo3Car">
    <w:name w:val="Título 3 Car"/>
    <w:link w:val="Ttulo3"/>
    <w:uiPriority w:val="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</w:style>
  <w:style w:type="paragraph" w:styleId="Textoindependiente2">
    <w:name w:val="Body Text 2"/>
    <w:basedOn w:val="Normal"/>
    <w:link w:val="Textoindependiente2Car"/>
    <w:uiPriority w:val="9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b.org/cs/ContentServer?c=Document_C&amp;pagename=FASB%2FDocument_C%2FDocumentPage&amp;cid=117615624555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sb.org/cs/ContentServer?c=Document_C&amp;pagename=FASB%2FDocument_C%2FDocumentPage&amp;cid=1218220086560" TargetMode="External"/><Relationship Id="rId12" Type="http://schemas.openxmlformats.org/officeDocument/2006/relationships/hyperlink" Target="http://glenif.org/es/index.php?option=com_content&amp;view=article&amp;id=52&amp;Itemid=5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rs.org/About-us/IASB/Advisory-bodies/ASAF/Pages/Accounting-Standards-Advisory-Forum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asb.org/cs/ContentServer?c=Document_C&amp;pagename=FASB%2FDocument_C%2FDocumentPage&amp;cid=11761569539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sb.org/cs/ContentServer?c=Document_C&amp;pagename=FASB%2FDocument_C%2FDocumentPage&amp;cid=117580185696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Contrapartida</vt:lpstr>
    </vt:vector>
  </TitlesOfParts>
  <Company>Conpresidencia Ltda.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Néstor Javier Lizarazo Sierra</dc:creator>
  <cp:lastModifiedBy>Marcos Valderrama</cp:lastModifiedBy>
  <cp:revision>2</cp:revision>
  <cp:lastPrinted>2011-08-23T16:28:00Z</cp:lastPrinted>
  <dcterms:created xsi:type="dcterms:W3CDTF">2014-07-25T14:42:00Z</dcterms:created>
  <dcterms:modified xsi:type="dcterms:W3CDTF">2014-07-25T14:42:00Z</dcterms:modified>
</cp:coreProperties>
</file>