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B4" w:rsidRDefault="00A202E2" w:rsidP="009C3456">
      <w:pPr>
        <w:keepNext/>
        <w:framePr w:dropCap="drop" w:lines="3" w:wrap="around" w:vAnchor="text" w:hAnchor="text"/>
        <w:spacing w:after="0" w:line="926" w:lineRule="exact"/>
        <w:textAlignment w:val="baseline"/>
        <w:rPr>
          <w:i/>
          <w:lang w:val="en-US"/>
        </w:rPr>
      </w:pPr>
      <w:bookmarkStart w:id="0" w:name="_GoBack"/>
      <w:bookmarkEnd w:id="0"/>
      <w:r>
        <w:rPr>
          <w:rFonts w:cs="Calibri"/>
          <w:position w:val="-9"/>
          <w:sz w:val="123"/>
        </w:rPr>
        <w:t>E</w:t>
      </w:r>
    </w:p>
    <w:p w:rsidR="00A202E2" w:rsidRPr="00BD0D52" w:rsidRDefault="00A202E2" w:rsidP="00A202E2">
      <w:r w:rsidRPr="00BD0D52">
        <w:t>l pasado jueves 24 de julio</w:t>
      </w:r>
      <w:r w:rsidR="006E5F16">
        <w:t>,</w:t>
      </w:r>
      <w:r w:rsidRPr="00BD0D52">
        <w:t xml:space="preserve"> IASB emitió la versión definitiva de la NIIF 9 sobre instrumentos financieros, estándar que tiene como fecha de aplicación obligatoria </w:t>
      </w:r>
      <w:r w:rsidR="000B5175">
        <w:t xml:space="preserve">a partir </w:t>
      </w:r>
      <w:r w:rsidRPr="00BD0D52">
        <w:t xml:space="preserve">del 1 de enero de 2018. </w:t>
      </w:r>
    </w:p>
    <w:p w:rsidR="00A202E2" w:rsidRPr="00BD0D52" w:rsidRDefault="00A202E2" w:rsidP="00A202E2">
      <w:r w:rsidRPr="00BD0D52">
        <w:t>Esta norma fue construida en tres fases, la primera orientada a la clasificación y medición, la segunda a la medición de deterioro y la tercera a la contabilidad de coberturas.</w:t>
      </w:r>
    </w:p>
    <w:p w:rsidR="00A202E2" w:rsidRDefault="006E5F16" w:rsidP="00A202E2">
      <w:r>
        <w:t>Con relación a lo tratado en l</w:t>
      </w:r>
      <w:r w:rsidR="00A202E2" w:rsidRPr="00BD0D52">
        <w:t>a</w:t>
      </w:r>
      <w:r>
        <w:t xml:space="preserve"> fase I, </w:t>
      </w:r>
      <w:r w:rsidR="00A202E2" w:rsidRPr="00BD0D52">
        <w:t xml:space="preserve"> finalmente establece criterios </w:t>
      </w:r>
      <w:r w:rsidR="00A202E2">
        <w:rPr>
          <w:rStyle w:val="hps"/>
          <w:lang w:val="es-ES"/>
        </w:rPr>
        <w:t>basados en</w:t>
      </w:r>
      <w:r w:rsidR="00A202E2">
        <w:rPr>
          <w:lang w:val="es-ES"/>
        </w:rPr>
        <w:t xml:space="preserve"> </w:t>
      </w:r>
      <w:r w:rsidR="00A202E2">
        <w:rPr>
          <w:rStyle w:val="hps"/>
          <w:lang w:val="es-ES"/>
        </w:rPr>
        <w:t>el principio</w:t>
      </w:r>
      <w:r>
        <w:rPr>
          <w:rStyle w:val="hps"/>
          <w:lang w:val="es-ES"/>
        </w:rPr>
        <w:t>s</w:t>
      </w:r>
      <w:r w:rsidR="00A202E2">
        <w:rPr>
          <w:lang w:val="es-ES"/>
        </w:rPr>
        <w:t xml:space="preserve"> y no en reglas como lo establecía la NIC 39, la clasificación de activos financieros se establece </w:t>
      </w:r>
      <w:r w:rsidR="00A202E2">
        <w:rPr>
          <w:rStyle w:val="hps"/>
          <w:lang w:val="es-ES"/>
        </w:rPr>
        <w:t>de acuerdo al</w:t>
      </w:r>
      <w:r w:rsidR="00A202E2">
        <w:rPr>
          <w:lang w:val="es-ES"/>
        </w:rPr>
        <w:t xml:space="preserve"> </w:t>
      </w:r>
      <w:r w:rsidR="00A202E2">
        <w:rPr>
          <w:rStyle w:val="hps"/>
          <w:lang w:val="es-ES"/>
        </w:rPr>
        <w:t>modelo de negocio y</w:t>
      </w:r>
      <w:r w:rsidR="00A202E2">
        <w:rPr>
          <w:lang w:val="es-ES"/>
        </w:rPr>
        <w:t xml:space="preserve"> a la </w:t>
      </w:r>
      <w:r w:rsidR="00A202E2">
        <w:rPr>
          <w:rStyle w:val="hps"/>
          <w:lang w:val="es-ES"/>
        </w:rPr>
        <w:t>naturaleza de</w:t>
      </w:r>
      <w:r w:rsidR="00A202E2">
        <w:rPr>
          <w:lang w:val="es-ES"/>
        </w:rPr>
        <w:t xml:space="preserve"> </w:t>
      </w:r>
      <w:r w:rsidR="00A202E2">
        <w:rPr>
          <w:rStyle w:val="hps"/>
          <w:lang w:val="es-ES"/>
        </w:rPr>
        <w:t>los flujos</w:t>
      </w:r>
      <w:r w:rsidR="00A202E2">
        <w:rPr>
          <w:lang w:val="es-ES"/>
        </w:rPr>
        <w:t xml:space="preserve"> </w:t>
      </w:r>
      <w:r w:rsidR="00A202E2">
        <w:rPr>
          <w:rStyle w:val="hps"/>
          <w:lang w:val="es-ES"/>
        </w:rPr>
        <w:t>de efectivo</w:t>
      </w:r>
      <w:r w:rsidR="00A202E2">
        <w:rPr>
          <w:lang w:val="es-ES"/>
        </w:rPr>
        <w:t xml:space="preserve"> del instrumento, para el caso de los pasivos financieros hace una acertada distinción en el tratamiento contable de las variaciones del valor razonable provenientes del riesgo de mercado y las prov</w:t>
      </w:r>
      <w:r w:rsidR="000B5175">
        <w:rPr>
          <w:lang w:val="es-ES"/>
        </w:rPr>
        <w:t>enientes del riesgo de crédito, a la vez que</w:t>
      </w:r>
      <w:r w:rsidR="00A202E2">
        <w:rPr>
          <w:lang w:val="es-ES"/>
        </w:rPr>
        <w:t xml:space="preserve"> permite las reclasificaciones a partir de los cambios en el modelo de negocio. </w:t>
      </w:r>
    </w:p>
    <w:p w:rsidR="00A202E2" w:rsidRDefault="006E5F16" w:rsidP="00A202E2">
      <w:r>
        <w:t>En lo relacionado con la clasificación y medición de los activos financieros</w:t>
      </w:r>
      <w:r w:rsidR="00A202E2">
        <w:t xml:space="preserve">, si un </w:t>
      </w:r>
      <w:r>
        <w:t>instrumento</w:t>
      </w:r>
      <w:r w:rsidR="00A202E2">
        <w:t xml:space="preserve"> no tiene flujos contractuales definidos, </w:t>
      </w:r>
      <w:r>
        <w:t xml:space="preserve">como </w:t>
      </w:r>
      <w:r w:rsidR="00A202E2">
        <w:t>por ejemplo capital e intereses, siempre se</w:t>
      </w:r>
      <w:r w:rsidR="0040732B">
        <w:t xml:space="preserve"> clasificarán y</w:t>
      </w:r>
      <w:r w:rsidR="00A202E2">
        <w:t xml:space="preserve"> medirán a valor razonable con cambios en el resultado, no obstante, se permite que para los instrumentos de patrimonio las variaciones afecten el otro resultado integral</w:t>
      </w:r>
      <w:r w:rsidR="000B5175">
        <w:t>, decisión que será irrevocable</w:t>
      </w:r>
      <w:r w:rsidR="00A202E2">
        <w:t xml:space="preserve">. </w:t>
      </w:r>
    </w:p>
    <w:p w:rsidR="00A202E2" w:rsidRDefault="00A202E2" w:rsidP="00A202E2">
      <w:pPr>
        <w:rPr>
          <w:lang w:val="es-ES"/>
        </w:rPr>
      </w:pPr>
      <w:r>
        <w:t>En el caso que el activo financiero si tenga flujos contractuales y la entidad espere</w:t>
      </w:r>
      <w:r w:rsidR="0040732B">
        <w:t xml:space="preserve"> </w:t>
      </w:r>
      <w:r w:rsidR="0040732B">
        <w:lastRenderedPageBreak/>
        <w:t>recoger</w:t>
      </w:r>
      <w:r>
        <w:t xml:space="preserve">los hasta su vencimiento serán </w:t>
      </w:r>
      <w:r w:rsidR="0040732B">
        <w:t xml:space="preserve">clasificados </w:t>
      </w:r>
      <w:r>
        <w:t xml:space="preserve">a costo amortizado, ahora bien, si </w:t>
      </w:r>
      <w:r>
        <w:rPr>
          <w:rStyle w:val="hps"/>
          <w:lang w:val="es-ES"/>
        </w:rPr>
        <w:t>el activo financiero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se mantiene dentro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un modelo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negocio cuyo objetivo</w:t>
      </w:r>
      <w:r>
        <w:rPr>
          <w:lang w:val="es-ES"/>
        </w:rPr>
        <w:t xml:space="preserve">  </w:t>
      </w:r>
      <w:r>
        <w:rPr>
          <w:rStyle w:val="hps"/>
          <w:lang w:val="es-ES"/>
        </w:rPr>
        <w:t>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obtener los flujos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efectivo contractuales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vender</w:t>
      </w:r>
      <w:r>
        <w:rPr>
          <w:lang w:val="es-ES"/>
        </w:rPr>
        <w:t xml:space="preserve">  simultáneamente l</w:t>
      </w:r>
      <w:r w:rsidR="003559FF">
        <w:rPr>
          <w:lang w:val="es-ES"/>
        </w:rPr>
        <w:t>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activos financieros, y adicionalmente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los términos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contractuales del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activo financiero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dan lugar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fechas determinadas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 los flujos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 efectivo</w:t>
      </w:r>
      <w:r w:rsidR="000B5175">
        <w:rPr>
          <w:rStyle w:val="hps"/>
          <w:lang w:val="es-ES"/>
        </w:rPr>
        <w:t>,</w:t>
      </w:r>
      <w:r>
        <w:rPr>
          <w:rStyle w:val="hps"/>
          <w:lang w:val="es-ES"/>
        </w:rPr>
        <w:t xml:space="preserve"> por concepto de principal 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intereses, estos instrumentos se </w:t>
      </w:r>
      <w:r w:rsidR="0040732B">
        <w:rPr>
          <w:rStyle w:val="hps"/>
          <w:lang w:val="es-ES"/>
        </w:rPr>
        <w:t xml:space="preserve">clasificarán </w:t>
      </w:r>
      <w:r w:rsidR="000B5175">
        <w:rPr>
          <w:rStyle w:val="hps"/>
          <w:lang w:val="es-ES"/>
        </w:rPr>
        <w:t>y</w:t>
      </w:r>
      <w:r w:rsidR="0040732B">
        <w:rPr>
          <w:rStyle w:val="hps"/>
          <w:lang w:val="es-ES"/>
        </w:rPr>
        <w:t xml:space="preserve"> </w:t>
      </w:r>
      <w:r>
        <w:rPr>
          <w:rStyle w:val="hps"/>
          <w:lang w:val="es-ES"/>
        </w:rPr>
        <w:t>medirán a valor razonable con efectos en el otro resultado integral.</w:t>
      </w:r>
      <w:r>
        <w:rPr>
          <w:lang w:val="es-ES"/>
        </w:rPr>
        <w:t xml:space="preserve"> </w:t>
      </w:r>
    </w:p>
    <w:p w:rsidR="00C9568D" w:rsidRDefault="00C9568D" w:rsidP="00A202E2">
      <w:pPr>
        <w:rPr>
          <w:rStyle w:val="longtext"/>
          <w:shd w:val="clear" w:color="auto" w:fill="FFFFFF"/>
        </w:rPr>
      </w:pPr>
      <w:r>
        <w:rPr>
          <w:rStyle w:val="hps"/>
          <w:lang w:val="es-ES"/>
        </w:rPr>
        <w:t>Ahora bien, para el caso de la clasificación y medición de estos instrumentos a valor razonable con efectos en resultados, la decisión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depende de que se proporcione información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más fiable y relevante, como por ejemplo </w:t>
      </w:r>
      <w:r w:rsidR="000B5175">
        <w:rPr>
          <w:rStyle w:val="hps"/>
          <w:lang w:val="es-ES"/>
        </w:rPr>
        <w:t>en el caso</w:t>
      </w:r>
      <w:r>
        <w:rPr>
          <w:rStyle w:val="hps"/>
          <w:lang w:val="es-ES"/>
        </w:rPr>
        <w:t xml:space="preserve"> de reducir o eliminar asimetrías contables, cuando el instrumento hace parte de una </w:t>
      </w:r>
      <w:r>
        <w:rPr>
          <w:rStyle w:val="longtext"/>
          <w:shd w:val="clear" w:color="auto" w:fill="FFFFFF"/>
        </w:rPr>
        <w:t>relación de cobertura.</w:t>
      </w:r>
    </w:p>
    <w:p w:rsidR="000B5175" w:rsidRDefault="000B5175" w:rsidP="00A202E2">
      <w:pPr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Así las cosas, comparando</w:t>
      </w:r>
      <w:r w:rsidR="00BD6526">
        <w:rPr>
          <w:rStyle w:val="longtext"/>
          <w:shd w:val="clear" w:color="auto" w:fill="FFFFFF"/>
        </w:rPr>
        <w:t xml:space="preserve"> los </w:t>
      </w:r>
      <w:r>
        <w:rPr>
          <w:rStyle w:val="longtext"/>
          <w:shd w:val="clear" w:color="auto" w:fill="FFFFFF"/>
        </w:rPr>
        <w:t>planteamientos iniciales de la fase I de la NIIF 9, con la versión definitiva de esta norma, en la clasificación de los activos financieros se da prelación al costo amortizado y al valor razonable con efectos en el otro resultado integral, que al valor razonable con efectos en el resultado</w:t>
      </w:r>
      <w:r w:rsidR="00BD6526">
        <w:rPr>
          <w:rStyle w:val="longtext"/>
          <w:shd w:val="clear" w:color="auto" w:fill="FFFFFF"/>
        </w:rPr>
        <w:t>, para el caso particular de los instrumentos de renta fija</w:t>
      </w:r>
      <w:r>
        <w:rPr>
          <w:rStyle w:val="longtext"/>
          <w:shd w:val="clear" w:color="auto" w:fill="FFFFFF"/>
        </w:rPr>
        <w:t>.</w:t>
      </w:r>
    </w:p>
    <w:p w:rsidR="00C9568D" w:rsidRDefault="00C9568D" w:rsidP="00C9568D">
      <w:pPr>
        <w:spacing w:after="0"/>
        <w:ind w:left="66"/>
      </w:pPr>
      <w:r>
        <w:t xml:space="preserve">Bueno las condiciones ya están dadas, </w:t>
      </w:r>
      <w:r w:rsidR="002A52F4">
        <w:t>hay que estudiar con detenimiento los cambios</w:t>
      </w:r>
      <w:r w:rsidR="00DA6A5C">
        <w:t>,</w:t>
      </w:r>
      <w:r w:rsidR="002A52F4">
        <w:t xml:space="preserve"> porque no sólo son con relación a la NIC 39 sino</w:t>
      </w:r>
      <w:r w:rsidR="00DA6A5C">
        <w:t xml:space="preserve"> también</w:t>
      </w:r>
      <w:r w:rsidR="002A52F4">
        <w:t xml:space="preserve"> con la versión de la NIIF 9 en la fase I inicial. </w:t>
      </w:r>
    </w:p>
    <w:p w:rsidR="00FD2D88" w:rsidRDefault="00306C4C" w:rsidP="00743F5C">
      <w:r>
        <w:t xml:space="preserve"> </w:t>
      </w:r>
    </w:p>
    <w:p w:rsidR="007A492D" w:rsidRPr="007A492D" w:rsidRDefault="009C3456" w:rsidP="007A492D">
      <w:pPr>
        <w:jc w:val="right"/>
        <w:rPr>
          <w:i/>
        </w:rPr>
      </w:pPr>
      <w:r>
        <w:rPr>
          <w:i/>
        </w:rPr>
        <w:t>Martha Liliana Arias Bello</w:t>
      </w:r>
    </w:p>
    <w:sectPr w:rsidR="007A492D" w:rsidRPr="007A492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5C" w:rsidRDefault="00A3115C" w:rsidP="00EE7812">
      <w:pPr>
        <w:spacing w:after="0" w:line="240" w:lineRule="auto"/>
      </w:pPr>
      <w:r>
        <w:separator/>
      </w:r>
    </w:p>
  </w:endnote>
  <w:endnote w:type="continuationSeparator" w:id="0">
    <w:p w:rsidR="00A3115C" w:rsidRDefault="00A3115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Zapfino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5C" w:rsidRDefault="00A3115C" w:rsidP="00EE7812">
      <w:pPr>
        <w:spacing w:after="0" w:line="240" w:lineRule="auto"/>
      </w:pPr>
      <w:r>
        <w:separator/>
      </w:r>
    </w:p>
  </w:footnote>
  <w:footnote w:type="continuationSeparator" w:id="0">
    <w:p w:rsidR="00A3115C" w:rsidRDefault="00A3115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559FF">
      <w:t>9</w:t>
    </w:r>
    <w:r w:rsidR="00C13FD8">
      <w:t>33</w:t>
    </w:r>
    <w:r w:rsidR="009D09BB">
      <w:t xml:space="preserve">, </w:t>
    </w:r>
    <w:r w:rsidR="003559FF">
      <w:t xml:space="preserve">Julio 28 </w:t>
    </w:r>
    <w:r w:rsidR="0080786C">
      <w:t>de 201</w:t>
    </w:r>
    <w:r w:rsidR="00A202E2">
      <w:t>4</w:t>
    </w:r>
  </w:p>
  <w:p w:rsidR="0046164F" w:rsidRDefault="00A3115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 w14:anchorId="6F0048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45BC8"/>
    <w:multiLevelType w:val="hybridMultilevel"/>
    <w:tmpl w:val="164CDAD2"/>
    <w:lvl w:ilvl="0" w:tplc="C7B2B1D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DD1035B"/>
    <w:multiLevelType w:val="hybridMultilevel"/>
    <w:tmpl w:val="708E77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39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40"/>
  </w:num>
  <w:num w:numId="41">
    <w:abstractNumId w:val="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175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924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2F4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4C6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4C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24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9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42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1F3E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32B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7A8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115"/>
    <w:rsid w:val="006E421F"/>
    <w:rsid w:val="006E460D"/>
    <w:rsid w:val="006E513C"/>
    <w:rsid w:val="006E54F0"/>
    <w:rsid w:val="006E5740"/>
    <w:rsid w:val="006E5B6B"/>
    <w:rsid w:val="006E5F16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DBA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3F5C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C7FC2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456"/>
    <w:rsid w:val="009C358B"/>
    <w:rsid w:val="009C37D5"/>
    <w:rsid w:val="009C4511"/>
    <w:rsid w:val="009C48F3"/>
    <w:rsid w:val="009C551E"/>
    <w:rsid w:val="009C552C"/>
    <w:rsid w:val="009C5E90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2E2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15C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526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3FD8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288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1A3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8D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A5C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211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A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2D88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2A822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character" w:customStyle="1" w:styleId="hps">
    <w:name w:val="hps"/>
    <w:basedOn w:val="Fuentedeprrafopredeter"/>
    <w:rsid w:val="00A202E2"/>
  </w:style>
  <w:style w:type="character" w:customStyle="1" w:styleId="longtext">
    <w:name w:val="long_text"/>
    <w:basedOn w:val="Fuentedeprrafopredeter"/>
    <w:rsid w:val="00C9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character" w:customStyle="1" w:styleId="hps">
    <w:name w:val="hps"/>
    <w:basedOn w:val="Fuentedeprrafopredeter"/>
    <w:rsid w:val="00A202E2"/>
  </w:style>
  <w:style w:type="character" w:customStyle="1" w:styleId="longtext">
    <w:name w:val="long_text"/>
    <w:basedOn w:val="Fuentedeprrafopredeter"/>
    <w:rsid w:val="00C9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E3CD-E013-47A6-97F0-8AF555D5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2014-07-28T15:09:00Z</dcterms:created>
  <dcterms:modified xsi:type="dcterms:W3CDTF">2014-07-28T15:09:00Z</dcterms:modified>
</cp:coreProperties>
</file>