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DE2" w:rsidRPr="00B33D2F" w:rsidRDefault="00123822" w:rsidP="002D1DE2">
      <w:pPr>
        <w:keepNext/>
        <w:framePr w:dropCap="drop" w:lines="3" w:wrap="auto" w:vAnchor="text" w:hAnchor="text" w:y="1"/>
        <w:spacing w:after="0" w:line="926" w:lineRule="exact"/>
        <w:textAlignment w:val="baseline"/>
        <w:rPr>
          <w:rFonts w:asciiTheme="minorHAnsi" w:hAnsiTheme="minorHAnsi"/>
          <w:position w:val="-8"/>
          <w:sz w:val="24"/>
          <w:szCs w:val="24"/>
        </w:rPr>
      </w:pPr>
      <w:r>
        <w:rPr>
          <w:position w:val="-8"/>
          <w:sz w:val="120"/>
          <w:szCs w:val="120"/>
        </w:rPr>
        <w:t>C</w:t>
      </w:r>
    </w:p>
    <w:p w:rsidR="00E12FD8" w:rsidRPr="000F4884" w:rsidRDefault="00E12FD8" w:rsidP="007A2BB5">
      <w:pPr>
        <w:spacing w:after="0"/>
        <w:rPr>
          <w:rFonts w:asciiTheme="minorHAnsi" w:eastAsia="Times New Roman" w:hAnsiTheme="minorHAnsi"/>
          <w:lang w:val="es-ES" w:eastAsia="es-CO"/>
        </w:rPr>
      </w:pPr>
      <w:r w:rsidRPr="000F4884">
        <w:rPr>
          <w:rFonts w:asciiTheme="minorHAnsi" w:eastAsia="Times New Roman" w:hAnsiTheme="minorHAnsi"/>
          <w:lang w:val="es-ES" w:eastAsia="es-CO"/>
        </w:rPr>
        <w:t>onforme a lo establecido en el modelo NIIF PYMES en lo relacionado con instrumentos financieros, las entidades tiene</w:t>
      </w:r>
      <w:r w:rsidR="00737451">
        <w:rPr>
          <w:rFonts w:asciiTheme="minorHAnsi" w:eastAsia="Times New Roman" w:hAnsiTheme="minorHAnsi"/>
          <w:lang w:val="es-ES" w:eastAsia="es-CO"/>
        </w:rPr>
        <w:t>n</w:t>
      </w:r>
      <w:r w:rsidRPr="000F4884">
        <w:rPr>
          <w:rFonts w:asciiTheme="minorHAnsi" w:eastAsia="Times New Roman" w:hAnsiTheme="minorHAnsi"/>
          <w:lang w:val="es-ES" w:eastAsia="es-CO"/>
        </w:rPr>
        <w:t xml:space="preserve"> la posibilidad de elegir la política contable para el tratamiento de </w:t>
      </w:r>
      <w:r w:rsidR="0049036E">
        <w:rPr>
          <w:rFonts w:asciiTheme="minorHAnsi" w:eastAsia="Times New Roman" w:hAnsiTheme="minorHAnsi"/>
          <w:lang w:val="es-ES" w:eastAsia="es-CO"/>
        </w:rPr>
        <w:t>estos</w:t>
      </w:r>
      <w:r w:rsidRPr="000F4884">
        <w:rPr>
          <w:rFonts w:asciiTheme="minorHAnsi" w:eastAsia="Times New Roman" w:hAnsiTheme="minorHAnsi"/>
          <w:lang w:val="es-ES" w:eastAsia="es-CO"/>
        </w:rPr>
        <w:t xml:space="preserve"> instrumentos</w:t>
      </w:r>
      <w:r w:rsidR="00007A35" w:rsidRPr="000F4884">
        <w:rPr>
          <w:rFonts w:asciiTheme="minorHAnsi" w:eastAsia="Times New Roman" w:hAnsiTheme="minorHAnsi"/>
          <w:lang w:val="es-ES" w:eastAsia="es-CO"/>
        </w:rPr>
        <w:t>.</w:t>
      </w:r>
    </w:p>
    <w:p w:rsidR="00E12FD8" w:rsidRPr="000F4884" w:rsidRDefault="00E12FD8" w:rsidP="007A2BB5">
      <w:pPr>
        <w:spacing w:after="0"/>
        <w:rPr>
          <w:rFonts w:asciiTheme="minorHAnsi" w:eastAsia="Times New Roman" w:hAnsiTheme="minorHAnsi"/>
          <w:lang w:val="es-ES" w:eastAsia="es-CO"/>
        </w:rPr>
      </w:pPr>
    </w:p>
    <w:p w:rsidR="00007A35" w:rsidRPr="000F4884" w:rsidRDefault="00E12FD8" w:rsidP="007A2BB5">
      <w:pPr>
        <w:spacing w:after="0"/>
        <w:rPr>
          <w:rFonts w:asciiTheme="minorHAnsi" w:eastAsia="Times New Roman" w:hAnsiTheme="minorHAnsi"/>
          <w:lang w:val="es-ES" w:eastAsia="es-CO"/>
        </w:rPr>
      </w:pPr>
      <w:r w:rsidRPr="000F4884">
        <w:rPr>
          <w:rFonts w:asciiTheme="minorHAnsi" w:eastAsia="Times New Roman" w:hAnsiTheme="minorHAnsi"/>
          <w:lang w:val="es-ES" w:eastAsia="es-CO"/>
        </w:rPr>
        <w:t xml:space="preserve">Esta elección de política consiste en </w:t>
      </w:r>
      <w:r w:rsidR="00E5054E" w:rsidRPr="000F4884">
        <w:rPr>
          <w:rFonts w:asciiTheme="minorHAnsi" w:eastAsia="Times New Roman" w:hAnsiTheme="minorHAnsi"/>
          <w:lang w:val="es-ES" w:eastAsia="es-CO"/>
        </w:rPr>
        <w:t>establecer</w:t>
      </w:r>
      <w:r w:rsidR="00007A35" w:rsidRPr="000F4884">
        <w:rPr>
          <w:rFonts w:asciiTheme="minorHAnsi" w:eastAsia="Times New Roman" w:hAnsiTheme="minorHAnsi"/>
          <w:lang w:val="es-ES" w:eastAsia="es-CO"/>
        </w:rPr>
        <w:t xml:space="preserve"> si se opta por la aplicación de </w:t>
      </w:r>
      <w:r w:rsidRPr="000F4884">
        <w:rPr>
          <w:rFonts w:asciiTheme="minorHAnsi" w:eastAsia="Times New Roman" w:hAnsiTheme="minorHAnsi"/>
          <w:lang w:val="es-ES" w:eastAsia="es-CO"/>
        </w:rPr>
        <w:t xml:space="preserve"> las disposiciones de </w:t>
      </w:r>
      <w:r w:rsidR="0049036E">
        <w:rPr>
          <w:rFonts w:asciiTheme="minorHAnsi" w:eastAsia="Times New Roman" w:hAnsiTheme="minorHAnsi"/>
          <w:lang w:val="es-ES" w:eastAsia="es-CO"/>
        </w:rPr>
        <w:t>las</w:t>
      </w:r>
      <w:r w:rsidRPr="000F4884">
        <w:rPr>
          <w:rFonts w:asciiTheme="minorHAnsi" w:eastAsia="Times New Roman" w:hAnsiTheme="minorHAnsi"/>
          <w:lang w:val="es-ES" w:eastAsia="es-CO"/>
        </w:rPr>
        <w:t xml:space="preserve"> secciones 11 y 12 en su totalidad, o </w:t>
      </w:r>
      <w:r w:rsidR="0049036E">
        <w:rPr>
          <w:rFonts w:asciiTheme="minorHAnsi" w:eastAsia="Times New Roman" w:hAnsiTheme="minorHAnsi"/>
          <w:lang w:val="es-ES" w:eastAsia="es-CO"/>
        </w:rPr>
        <w:t>si se aplican las</w:t>
      </w:r>
      <w:r w:rsidRPr="000F4884">
        <w:rPr>
          <w:rFonts w:asciiTheme="minorHAnsi" w:eastAsia="Times New Roman" w:hAnsiTheme="minorHAnsi"/>
          <w:lang w:val="es-ES" w:eastAsia="es-CO"/>
        </w:rPr>
        <w:t xml:space="preserve"> disposiciones sobre reconocimiento y medición de la NIC 39</w:t>
      </w:r>
      <w:r w:rsidR="0049036E">
        <w:rPr>
          <w:rFonts w:asciiTheme="minorHAnsi" w:eastAsia="Times New Roman" w:hAnsiTheme="minorHAnsi"/>
          <w:lang w:val="es-ES" w:eastAsia="es-CO"/>
        </w:rPr>
        <w:t>,</w:t>
      </w:r>
      <w:r w:rsidR="00E5054E" w:rsidRPr="000F4884">
        <w:rPr>
          <w:rFonts w:asciiTheme="minorHAnsi" w:eastAsia="Times New Roman" w:hAnsiTheme="minorHAnsi"/>
          <w:lang w:val="es-ES" w:eastAsia="es-CO"/>
        </w:rPr>
        <w:t xml:space="preserve"> </w:t>
      </w:r>
      <w:r w:rsidRPr="000F4884">
        <w:rPr>
          <w:rFonts w:asciiTheme="minorHAnsi" w:eastAsia="Times New Roman" w:hAnsiTheme="minorHAnsi"/>
          <w:lang w:val="es-ES" w:eastAsia="es-CO"/>
        </w:rPr>
        <w:t xml:space="preserve">para contabilizar todos </w:t>
      </w:r>
      <w:r w:rsidR="00E5054E" w:rsidRPr="000F4884">
        <w:rPr>
          <w:rFonts w:asciiTheme="minorHAnsi" w:eastAsia="Times New Roman" w:hAnsiTheme="minorHAnsi"/>
          <w:lang w:val="es-ES" w:eastAsia="es-CO"/>
        </w:rPr>
        <w:t>lo</w:t>
      </w:r>
      <w:r w:rsidRPr="000F4884">
        <w:rPr>
          <w:rFonts w:asciiTheme="minorHAnsi" w:eastAsia="Times New Roman" w:hAnsiTheme="minorHAnsi"/>
          <w:lang w:val="es-ES" w:eastAsia="es-CO"/>
        </w:rPr>
        <w:t>s instrumentos financieros</w:t>
      </w:r>
      <w:r w:rsidR="00C41C65" w:rsidRPr="000F4884">
        <w:rPr>
          <w:rStyle w:val="Refdenotaalpie"/>
          <w:rFonts w:asciiTheme="minorHAnsi" w:eastAsia="Times New Roman" w:hAnsiTheme="minorHAnsi"/>
          <w:lang w:val="es-ES" w:eastAsia="es-CO"/>
        </w:rPr>
        <w:footnoteReference w:id="1"/>
      </w:r>
      <w:r w:rsidRPr="000F4884">
        <w:rPr>
          <w:rFonts w:asciiTheme="minorHAnsi" w:eastAsia="Times New Roman" w:hAnsiTheme="minorHAnsi"/>
          <w:lang w:val="es-ES" w:eastAsia="es-CO"/>
        </w:rPr>
        <w:t xml:space="preserve">. </w:t>
      </w:r>
    </w:p>
    <w:p w:rsidR="00007A35" w:rsidRPr="000F4884" w:rsidRDefault="00007A35" w:rsidP="007A2BB5">
      <w:pPr>
        <w:spacing w:after="0"/>
        <w:rPr>
          <w:rFonts w:asciiTheme="minorHAnsi" w:eastAsia="Times New Roman" w:hAnsiTheme="minorHAnsi"/>
          <w:lang w:val="es-ES" w:eastAsia="es-CO"/>
        </w:rPr>
      </w:pPr>
    </w:p>
    <w:p w:rsidR="004233BF" w:rsidRPr="000F4884" w:rsidRDefault="00D137B9" w:rsidP="007A2BB5">
      <w:pPr>
        <w:spacing w:after="0"/>
        <w:rPr>
          <w:rFonts w:asciiTheme="minorHAnsi" w:eastAsia="Times New Roman" w:hAnsiTheme="minorHAnsi"/>
          <w:lang w:val="es-ES" w:eastAsia="es-CO"/>
        </w:rPr>
      </w:pPr>
      <w:r w:rsidRPr="000F4884">
        <w:rPr>
          <w:rFonts w:asciiTheme="minorHAnsi" w:eastAsia="Times New Roman" w:hAnsiTheme="minorHAnsi"/>
          <w:lang w:val="es-ES" w:eastAsia="es-CO"/>
        </w:rPr>
        <w:t>Esta es una posibilidad que proporciona el modelo PYME de NIIF, para que las empresas</w:t>
      </w:r>
      <w:r w:rsidR="00EE63A7">
        <w:rPr>
          <w:rFonts w:asciiTheme="minorHAnsi" w:eastAsia="Times New Roman" w:hAnsiTheme="minorHAnsi"/>
          <w:lang w:val="es-ES" w:eastAsia="es-CO"/>
        </w:rPr>
        <w:t>,</w:t>
      </w:r>
      <w:r w:rsidRPr="000F4884">
        <w:rPr>
          <w:rFonts w:asciiTheme="minorHAnsi" w:eastAsia="Times New Roman" w:hAnsiTheme="minorHAnsi"/>
          <w:lang w:val="es-ES" w:eastAsia="es-CO"/>
        </w:rPr>
        <w:t xml:space="preserve"> que aun cuando no sean de interés público</w:t>
      </w:r>
      <w:r w:rsidR="00587D3F" w:rsidRPr="000F4884">
        <w:rPr>
          <w:rFonts w:asciiTheme="minorHAnsi" w:eastAsia="Times New Roman" w:hAnsiTheme="minorHAnsi"/>
          <w:lang w:val="es-ES" w:eastAsia="es-CO"/>
        </w:rPr>
        <w:t>,</w:t>
      </w:r>
      <w:r w:rsidRPr="000F4884">
        <w:rPr>
          <w:rFonts w:asciiTheme="minorHAnsi" w:eastAsia="Times New Roman" w:hAnsiTheme="minorHAnsi"/>
          <w:lang w:val="es-ES" w:eastAsia="es-CO"/>
        </w:rPr>
        <w:t xml:space="preserve"> puedan aplicar las directrices</w:t>
      </w:r>
      <w:r w:rsidR="00587D3F" w:rsidRPr="000F4884">
        <w:rPr>
          <w:rFonts w:asciiTheme="minorHAnsi" w:eastAsia="Times New Roman" w:hAnsiTheme="minorHAnsi"/>
          <w:lang w:val="es-ES" w:eastAsia="es-CO"/>
        </w:rPr>
        <w:t xml:space="preserve"> de las NIIF plenas, esto en la medida que</w:t>
      </w:r>
      <w:r w:rsidR="003754C2">
        <w:rPr>
          <w:rFonts w:asciiTheme="minorHAnsi" w:eastAsia="Times New Roman" w:hAnsiTheme="minorHAnsi"/>
          <w:lang w:val="es-ES" w:eastAsia="es-CO"/>
        </w:rPr>
        <w:t xml:space="preserve"> la administración de lo</w:t>
      </w:r>
      <w:r w:rsidR="00587D3F" w:rsidRPr="000F4884">
        <w:rPr>
          <w:rFonts w:asciiTheme="minorHAnsi" w:eastAsia="Times New Roman" w:hAnsiTheme="minorHAnsi"/>
          <w:lang w:val="es-ES" w:eastAsia="es-CO"/>
        </w:rPr>
        <w:t>s recursos financieros</w:t>
      </w:r>
      <w:r w:rsidR="002C383D">
        <w:rPr>
          <w:rFonts w:asciiTheme="minorHAnsi" w:eastAsia="Times New Roman" w:hAnsiTheme="minorHAnsi"/>
          <w:lang w:val="es-ES" w:eastAsia="es-CO"/>
        </w:rPr>
        <w:t xml:space="preserve">, </w:t>
      </w:r>
      <w:r w:rsidR="00923F48">
        <w:rPr>
          <w:rFonts w:asciiTheme="minorHAnsi" w:eastAsia="Times New Roman" w:hAnsiTheme="minorHAnsi"/>
          <w:lang w:val="es-ES" w:eastAsia="es-CO"/>
        </w:rPr>
        <w:t>permitan</w:t>
      </w:r>
      <w:r w:rsidR="003754C2">
        <w:rPr>
          <w:rFonts w:asciiTheme="minorHAnsi" w:eastAsia="Times New Roman" w:hAnsiTheme="minorHAnsi"/>
          <w:lang w:val="es-ES" w:eastAsia="es-CO"/>
        </w:rPr>
        <w:t xml:space="preserve"> la aplicación de este estándar dando mayor utilidad a la información financiera</w:t>
      </w:r>
      <w:r w:rsidR="00587D3F" w:rsidRPr="000F4884">
        <w:rPr>
          <w:rFonts w:asciiTheme="minorHAnsi" w:eastAsia="Times New Roman" w:hAnsiTheme="minorHAnsi"/>
          <w:lang w:val="es-ES" w:eastAsia="es-CO"/>
        </w:rPr>
        <w:t>.</w:t>
      </w:r>
    </w:p>
    <w:p w:rsidR="00587D3F" w:rsidRPr="000F4884" w:rsidRDefault="00587D3F" w:rsidP="007A2BB5">
      <w:pPr>
        <w:spacing w:after="0"/>
        <w:rPr>
          <w:rFonts w:asciiTheme="minorHAnsi" w:eastAsia="Times New Roman" w:hAnsiTheme="minorHAnsi"/>
          <w:lang w:val="es-ES" w:eastAsia="es-CO"/>
        </w:rPr>
      </w:pPr>
    </w:p>
    <w:p w:rsidR="00587D3F" w:rsidRDefault="00587D3F" w:rsidP="007A2BB5">
      <w:pPr>
        <w:spacing w:after="0"/>
        <w:rPr>
          <w:rFonts w:asciiTheme="minorHAnsi" w:eastAsia="Times New Roman" w:hAnsiTheme="minorHAnsi"/>
          <w:lang w:val="es-ES" w:eastAsia="es-CO"/>
        </w:rPr>
      </w:pPr>
      <w:r w:rsidRPr="000F4884">
        <w:rPr>
          <w:rFonts w:asciiTheme="minorHAnsi" w:eastAsia="Times New Roman" w:hAnsiTheme="minorHAnsi"/>
          <w:lang w:val="es-ES" w:eastAsia="es-CO"/>
        </w:rPr>
        <w:t>Si bien, esta elección de política es permitida para las PYMES</w:t>
      </w:r>
      <w:r w:rsidR="0049036E">
        <w:rPr>
          <w:rFonts w:asciiTheme="minorHAnsi" w:eastAsia="Times New Roman" w:hAnsiTheme="minorHAnsi"/>
          <w:lang w:val="es-ES" w:eastAsia="es-CO"/>
        </w:rPr>
        <w:t xml:space="preserve"> en el modelo internacional</w:t>
      </w:r>
      <w:r w:rsidRPr="000F4884">
        <w:rPr>
          <w:rFonts w:asciiTheme="minorHAnsi" w:eastAsia="Times New Roman" w:hAnsiTheme="minorHAnsi"/>
          <w:lang w:val="es-ES" w:eastAsia="es-CO"/>
        </w:rPr>
        <w:t xml:space="preserve">, en Colombia no puede </w:t>
      </w:r>
      <w:r w:rsidR="000F4884" w:rsidRPr="000F4884">
        <w:rPr>
          <w:rFonts w:asciiTheme="minorHAnsi" w:eastAsia="Times New Roman" w:hAnsiTheme="minorHAnsi"/>
          <w:lang w:val="es-ES" w:eastAsia="es-CO"/>
        </w:rPr>
        <w:t>ser aplicada</w:t>
      </w:r>
      <w:r w:rsidR="000A5C22">
        <w:rPr>
          <w:rFonts w:asciiTheme="minorHAnsi" w:eastAsia="Times New Roman" w:hAnsiTheme="minorHAnsi"/>
          <w:lang w:val="es-ES" w:eastAsia="es-CO"/>
        </w:rPr>
        <w:t xml:space="preserve">. </w:t>
      </w:r>
      <w:r w:rsidR="00796BCB">
        <w:rPr>
          <w:rFonts w:asciiTheme="minorHAnsi" w:eastAsia="Times New Roman" w:hAnsiTheme="minorHAnsi"/>
          <w:lang w:val="es-ES" w:eastAsia="es-CO"/>
        </w:rPr>
        <w:t>E</w:t>
      </w:r>
      <w:r w:rsidR="000F4884" w:rsidRPr="000F4884">
        <w:rPr>
          <w:rFonts w:asciiTheme="minorHAnsi" w:eastAsia="Times New Roman" w:hAnsiTheme="minorHAnsi"/>
          <w:lang w:val="es-ES" w:eastAsia="es-CO"/>
        </w:rPr>
        <w:t>l anexo del Decreto 2784</w:t>
      </w:r>
      <w:r w:rsidRPr="000F4884">
        <w:rPr>
          <w:rFonts w:asciiTheme="minorHAnsi" w:eastAsia="Times New Roman" w:hAnsiTheme="minorHAnsi"/>
          <w:lang w:val="es-ES" w:eastAsia="es-CO"/>
        </w:rPr>
        <w:t xml:space="preserve"> </w:t>
      </w:r>
      <w:r w:rsidR="000F4884" w:rsidRPr="000F4884">
        <w:rPr>
          <w:rFonts w:asciiTheme="minorHAnsi" w:eastAsia="Times New Roman" w:hAnsiTheme="minorHAnsi"/>
          <w:lang w:val="es-ES" w:eastAsia="es-CO"/>
        </w:rPr>
        <w:t xml:space="preserve">de 2012, incorpora las </w:t>
      </w:r>
      <w:r w:rsidR="00CC7D48">
        <w:rPr>
          <w:rFonts w:asciiTheme="minorHAnsi" w:eastAsia="Times New Roman" w:hAnsiTheme="minorHAnsi"/>
          <w:lang w:val="es-ES" w:eastAsia="es-CO"/>
        </w:rPr>
        <w:t>Normas Internacionales de Información Financiera en su versión 2012.</w:t>
      </w:r>
    </w:p>
    <w:p w:rsidR="00CC7D48" w:rsidRDefault="00CC7D48" w:rsidP="007A2BB5">
      <w:pPr>
        <w:spacing w:after="0"/>
        <w:rPr>
          <w:rFonts w:asciiTheme="minorHAnsi" w:eastAsia="Times New Roman" w:hAnsiTheme="minorHAnsi"/>
          <w:lang w:val="es-ES" w:eastAsia="es-CO"/>
        </w:rPr>
      </w:pPr>
    </w:p>
    <w:p w:rsidR="00DA5C36" w:rsidRDefault="00AD2E35" w:rsidP="00AD2E35">
      <w:pPr>
        <w:rPr>
          <w:rFonts w:asciiTheme="minorHAnsi" w:eastAsia="Times New Roman" w:hAnsiTheme="minorHAnsi"/>
          <w:lang w:val="es-ES" w:eastAsia="es-CO"/>
        </w:rPr>
      </w:pPr>
      <w:r>
        <w:rPr>
          <w:rFonts w:asciiTheme="minorHAnsi" w:eastAsia="Times New Roman" w:hAnsiTheme="minorHAnsi"/>
          <w:lang w:val="es-ES" w:eastAsia="es-CO"/>
        </w:rPr>
        <w:t>E</w:t>
      </w:r>
      <w:r w:rsidR="00CC7D48">
        <w:rPr>
          <w:rFonts w:asciiTheme="minorHAnsi" w:eastAsia="Times New Roman" w:hAnsiTheme="minorHAnsi"/>
          <w:lang w:val="es-ES" w:eastAsia="es-CO"/>
        </w:rPr>
        <w:t>sta versión</w:t>
      </w:r>
      <w:r>
        <w:rPr>
          <w:rFonts w:asciiTheme="minorHAnsi" w:eastAsia="Times New Roman" w:hAnsiTheme="minorHAnsi"/>
          <w:lang w:val="es-ES" w:eastAsia="es-CO"/>
        </w:rPr>
        <w:t xml:space="preserve"> incorpora las modificaciones de la </w:t>
      </w:r>
      <w:r w:rsidRPr="00AD2E35">
        <w:rPr>
          <w:rFonts w:asciiTheme="minorHAnsi" w:eastAsia="Times New Roman" w:hAnsiTheme="minorHAnsi"/>
          <w:lang w:val="es-ES" w:eastAsia="es-CO"/>
        </w:rPr>
        <w:t>NIIF 9</w:t>
      </w:r>
      <w:r>
        <w:rPr>
          <w:rFonts w:asciiTheme="minorHAnsi" w:eastAsia="Times New Roman" w:hAnsiTheme="minorHAnsi"/>
          <w:lang w:val="es-ES" w:eastAsia="es-CO"/>
        </w:rPr>
        <w:t>,</w:t>
      </w:r>
      <w:r w:rsidRPr="00AD2E35">
        <w:rPr>
          <w:rFonts w:asciiTheme="minorHAnsi" w:eastAsia="Times New Roman" w:hAnsiTheme="minorHAnsi"/>
          <w:lang w:val="es-ES" w:eastAsia="es-CO"/>
        </w:rPr>
        <w:t xml:space="preserve"> </w:t>
      </w:r>
      <w:r>
        <w:rPr>
          <w:rFonts w:asciiTheme="minorHAnsi" w:eastAsia="Times New Roman" w:hAnsiTheme="minorHAnsi"/>
          <w:lang w:val="es-ES" w:eastAsia="es-CO"/>
        </w:rPr>
        <w:t xml:space="preserve">las cuales </w:t>
      </w:r>
      <w:r w:rsidRPr="00AD2E35">
        <w:rPr>
          <w:rFonts w:asciiTheme="minorHAnsi" w:eastAsia="Times New Roman" w:hAnsiTheme="minorHAnsi"/>
          <w:lang w:val="es-ES" w:eastAsia="es-CO"/>
        </w:rPr>
        <w:t xml:space="preserve"> requieren que </w:t>
      </w:r>
      <w:r w:rsidR="00DA5C36">
        <w:rPr>
          <w:rFonts w:asciiTheme="minorHAnsi" w:eastAsia="Times New Roman" w:hAnsiTheme="minorHAnsi"/>
          <w:lang w:val="es-ES" w:eastAsia="es-CO"/>
        </w:rPr>
        <w:t xml:space="preserve">esta </w:t>
      </w:r>
      <w:r w:rsidRPr="00AD2E35">
        <w:rPr>
          <w:rFonts w:asciiTheme="minorHAnsi" w:eastAsia="Times New Roman" w:hAnsiTheme="minorHAnsi"/>
          <w:lang w:val="es-ES" w:eastAsia="es-CO"/>
        </w:rPr>
        <w:t>NIIF se aplique a periodos anuales que comiencen a partir del 1 de enero de 2015, y deben aplicarse cuando se ap</w:t>
      </w:r>
      <w:r w:rsidR="00DA5C36">
        <w:rPr>
          <w:rFonts w:asciiTheme="minorHAnsi" w:eastAsia="Times New Roman" w:hAnsiTheme="minorHAnsi"/>
          <w:lang w:val="es-ES" w:eastAsia="es-CO"/>
        </w:rPr>
        <w:t xml:space="preserve">lique por primera vez </w:t>
      </w:r>
      <w:r w:rsidR="00DA5C36">
        <w:rPr>
          <w:rFonts w:asciiTheme="minorHAnsi" w:eastAsia="Times New Roman" w:hAnsiTheme="minorHAnsi"/>
          <w:lang w:val="es-ES" w:eastAsia="es-CO"/>
        </w:rPr>
        <w:lastRenderedPageBreak/>
        <w:t>la NIIF 9,</w:t>
      </w:r>
      <w:r w:rsidRPr="00AD2E35">
        <w:rPr>
          <w:rFonts w:asciiTheme="minorHAnsi" w:eastAsia="Times New Roman" w:hAnsiTheme="minorHAnsi"/>
          <w:lang w:val="es-ES" w:eastAsia="es-CO"/>
        </w:rPr>
        <w:t xml:space="preserve"> </w:t>
      </w:r>
      <w:r w:rsidR="00DA5C36">
        <w:rPr>
          <w:rFonts w:asciiTheme="minorHAnsi" w:eastAsia="Times New Roman" w:hAnsiTheme="minorHAnsi"/>
          <w:lang w:val="es-ES" w:eastAsia="es-CO"/>
        </w:rPr>
        <w:t>permitiendo</w:t>
      </w:r>
      <w:r w:rsidRPr="00AD2E35">
        <w:rPr>
          <w:rFonts w:asciiTheme="minorHAnsi" w:eastAsia="Times New Roman" w:hAnsiTheme="minorHAnsi"/>
          <w:lang w:val="es-ES" w:eastAsia="es-CO"/>
        </w:rPr>
        <w:t xml:space="preserve"> </w:t>
      </w:r>
      <w:r w:rsidR="00E10B55">
        <w:rPr>
          <w:rFonts w:asciiTheme="minorHAnsi" w:eastAsia="Times New Roman" w:hAnsiTheme="minorHAnsi"/>
          <w:lang w:val="es-ES" w:eastAsia="es-CO"/>
        </w:rPr>
        <w:t>su</w:t>
      </w:r>
      <w:r w:rsidRPr="00AD2E35">
        <w:rPr>
          <w:rFonts w:asciiTheme="minorHAnsi" w:eastAsia="Times New Roman" w:hAnsiTheme="minorHAnsi"/>
          <w:lang w:val="es-ES" w:eastAsia="es-CO"/>
        </w:rPr>
        <w:t xml:space="preserve"> aplicación anticipada. </w:t>
      </w:r>
    </w:p>
    <w:p w:rsidR="00AD2E35" w:rsidRDefault="00DA5C36" w:rsidP="00AD2E35">
      <w:pPr>
        <w:rPr>
          <w:rFonts w:asciiTheme="minorHAnsi" w:eastAsia="Times New Roman" w:hAnsiTheme="minorHAnsi"/>
          <w:lang w:val="es-ES" w:eastAsia="es-CO"/>
        </w:rPr>
      </w:pPr>
      <w:r>
        <w:rPr>
          <w:rFonts w:asciiTheme="minorHAnsi" w:eastAsia="Times New Roman" w:hAnsiTheme="minorHAnsi"/>
          <w:lang w:val="es-ES" w:eastAsia="es-CO"/>
        </w:rPr>
        <w:t>E</w:t>
      </w:r>
      <w:r w:rsidR="000A5C22">
        <w:rPr>
          <w:rFonts w:asciiTheme="minorHAnsi" w:eastAsia="Times New Roman" w:hAnsiTheme="minorHAnsi"/>
          <w:lang w:val="es-ES" w:eastAsia="es-CO"/>
        </w:rPr>
        <w:t xml:space="preserve">n el marco de </w:t>
      </w:r>
      <w:r w:rsidR="00E50607">
        <w:rPr>
          <w:rFonts w:asciiTheme="minorHAnsi" w:eastAsia="Times New Roman" w:hAnsiTheme="minorHAnsi"/>
          <w:lang w:val="es-ES" w:eastAsia="es-CO"/>
        </w:rPr>
        <w:t xml:space="preserve">la </w:t>
      </w:r>
      <w:r w:rsidR="000A5C22">
        <w:rPr>
          <w:rFonts w:asciiTheme="minorHAnsi" w:eastAsia="Times New Roman" w:hAnsiTheme="minorHAnsi"/>
          <w:lang w:val="es-ES" w:eastAsia="es-CO"/>
        </w:rPr>
        <w:t>regulación colombiana</w:t>
      </w:r>
      <w:r w:rsidR="00E50607">
        <w:rPr>
          <w:rFonts w:asciiTheme="minorHAnsi" w:eastAsia="Times New Roman" w:hAnsiTheme="minorHAnsi"/>
          <w:lang w:val="es-ES" w:eastAsia="es-CO"/>
        </w:rPr>
        <w:t>,</w:t>
      </w:r>
      <w:r w:rsidR="000A5C22">
        <w:rPr>
          <w:rFonts w:asciiTheme="minorHAnsi" w:eastAsia="Times New Roman" w:hAnsiTheme="minorHAnsi"/>
          <w:lang w:val="es-ES" w:eastAsia="es-CO"/>
        </w:rPr>
        <w:t xml:space="preserve"> a la fecha</w:t>
      </w:r>
      <w:r w:rsidR="00E10B55">
        <w:rPr>
          <w:rFonts w:asciiTheme="minorHAnsi" w:eastAsia="Times New Roman" w:hAnsiTheme="minorHAnsi"/>
          <w:lang w:val="es-ES" w:eastAsia="es-CO"/>
        </w:rPr>
        <w:t>,</w:t>
      </w:r>
      <w:r w:rsidR="000A5C22">
        <w:rPr>
          <w:rFonts w:asciiTheme="minorHAnsi" w:eastAsia="Times New Roman" w:hAnsiTheme="minorHAnsi"/>
          <w:lang w:val="es-ES" w:eastAsia="es-CO"/>
        </w:rPr>
        <w:t xml:space="preserve"> se aplica la NIIF 9 para los efectos de la clasificación y medición de los activos y pasivos financieros, y </w:t>
      </w:r>
      <w:r w:rsidR="004B0C60">
        <w:rPr>
          <w:rFonts w:asciiTheme="minorHAnsi" w:eastAsia="Times New Roman" w:hAnsiTheme="minorHAnsi"/>
          <w:lang w:val="es-ES" w:eastAsia="es-CO"/>
        </w:rPr>
        <w:t>la NIC 39 para los efectos de deterioro de los activos financieros y la contabilidad de coberturas</w:t>
      </w:r>
      <w:r w:rsidR="00311083">
        <w:rPr>
          <w:rFonts w:asciiTheme="minorHAnsi" w:eastAsia="Times New Roman" w:hAnsiTheme="minorHAnsi"/>
          <w:lang w:val="es-ES" w:eastAsia="es-CO"/>
        </w:rPr>
        <w:t>, conforme al anexo del Decreto 2784/12</w:t>
      </w:r>
      <w:r w:rsidR="004B0C60">
        <w:rPr>
          <w:rFonts w:asciiTheme="minorHAnsi" w:eastAsia="Times New Roman" w:hAnsiTheme="minorHAnsi"/>
          <w:lang w:val="es-ES" w:eastAsia="es-CO"/>
        </w:rPr>
        <w:t>.</w:t>
      </w:r>
    </w:p>
    <w:p w:rsidR="00E50607" w:rsidRDefault="004B0C60" w:rsidP="00AD2E35">
      <w:pPr>
        <w:rPr>
          <w:rFonts w:asciiTheme="minorHAnsi" w:eastAsia="Times New Roman" w:hAnsiTheme="minorHAnsi"/>
          <w:lang w:val="es-ES" w:eastAsia="es-CO"/>
        </w:rPr>
      </w:pPr>
      <w:r>
        <w:rPr>
          <w:rFonts w:asciiTheme="minorHAnsi" w:eastAsia="Times New Roman" w:hAnsiTheme="minorHAnsi"/>
          <w:lang w:val="es-ES" w:eastAsia="es-CO"/>
        </w:rPr>
        <w:t>El modelo NIIF PYME, en ningún caso h</w:t>
      </w:r>
      <w:r w:rsidR="008E27BE">
        <w:rPr>
          <w:rFonts w:asciiTheme="minorHAnsi" w:eastAsia="Times New Roman" w:hAnsiTheme="minorHAnsi"/>
          <w:lang w:val="es-ES" w:eastAsia="es-CO"/>
        </w:rPr>
        <w:t>a</w:t>
      </w:r>
      <w:r>
        <w:rPr>
          <w:rFonts w:asciiTheme="minorHAnsi" w:eastAsia="Times New Roman" w:hAnsiTheme="minorHAnsi"/>
          <w:lang w:val="es-ES" w:eastAsia="es-CO"/>
        </w:rPr>
        <w:t xml:space="preserve">ce alusión a la NIIF 9, </w:t>
      </w:r>
      <w:r w:rsidR="008E27BE">
        <w:rPr>
          <w:rFonts w:asciiTheme="minorHAnsi" w:eastAsia="Times New Roman" w:hAnsiTheme="minorHAnsi"/>
          <w:lang w:val="es-ES" w:eastAsia="es-CO"/>
        </w:rPr>
        <w:t>esto dado que la emisión de est</w:t>
      </w:r>
      <w:r w:rsidR="00141A3B">
        <w:rPr>
          <w:rFonts w:asciiTheme="minorHAnsi" w:eastAsia="Times New Roman" w:hAnsiTheme="minorHAnsi"/>
          <w:lang w:val="es-ES" w:eastAsia="es-CO"/>
        </w:rPr>
        <w:t>e</w:t>
      </w:r>
      <w:r w:rsidR="008E27BE">
        <w:rPr>
          <w:rFonts w:asciiTheme="minorHAnsi" w:eastAsia="Times New Roman" w:hAnsiTheme="minorHAnsi"/>
          <w:lang w:val="es-ES" w:eastAsia="es-CO"/>
        </w:rPr>
        <w:t xml:space="preserve"> modelo </w:t>
      </w:r>
      <w:r w:rsidR="00141A3B">
        <w:rPr>
          <w:rFonts w:asciiTheme="minorHAnsi" w:eastAsia="Times New Roman" w:hAnsiTheme="minorHAnsi"/>
          <w:lang w:val="es-ES" w:eastAsia="es-CO"/>
        </w:rPr>
        <w:t>se realizó</w:t>
      </w:r>
      <w:r w:rsidR="008E27BE">
        <w:rPr>
          <w:rFonts w:asciiTheme="minorHAnsi" w:eastAsia="Times New Roman" w:hAnsiTheme="minorHAnsi"/>
          <w:lang w:val="es-ES" w:eastAsia="es-CO"/>
        </w:rPr>
        <w:t xml:space="preserve"> en el año 2009,</w:t>
      </w:r>
      <w:r w:rsidR="00E50607">
        <w:rPr>
          <w:rFonts w:asciiTheme="minorHAnsi" w:eastAsia="Times New Roman" w:hAnsiTheme="minorHAnsi"/>
          <w:lang w:val="es-ES" w:eastAsia="es-CO"/>
        </w:rPr>
        <w:t xml:space="preserve"> año en el que se inicia el proceso de reemplazo de la NIC 39</w:t>
      </w:r>
      <w:r w:rsidR="00E10B55">
        <w:rPr>
          <w:rFonts w:asciiTheme="minorHAnsi" w:eastAsia="Times New Roman" w:hAnsiTheme="minorHAnsi"/>
          <w:lang w:val="es-ES" w:eastAsia="es-CO"/>
        </w:rPr>
        <w:t>, es decir la construcción de la NIIF 9</w:t>
      </w:r>
      <w:r w:rsidR="00E50607">
        <w:rPr>
          <w:rFonts w:asciiTheme="minorHAnsi" w:eastAsia="Times New Roman" w:hAnsiTheme="minorHAnsi"/>
          <w:lang w:val="es-ES" w:eastAsia="es-CO"/>
        </w:rPr>
        <w:t>.</w:t>
      </w:r>
    </w:p>
    <w:p w:rsidR="00E50607" w:rsidRDefault="00E97B95" w:rsidP="00AD2E35">
      <w:pPr>
        <w:rPr>
          <w:rFonts w:asciiTheme="minorHAnsi" w:eastAsia="Times New Roman" w:hAnsiTheme="minorHAnsi"/>
          <w:lang w:val="es-ES" w:eastAsia="es-CO"/>
        </w:rPr>
      </w:pPr>
      <w:r>
        <w:rPr>
          <w:rFonts w:asciiTheme="minorHAnsi" w:eastAsia="Times New Roman" w:hAnsiTheme="minorHAnsi"/>
          <w:lang w:val="es-ES" w:eastAsia="es-CO"/>
        </w:rPr>
        <w:t>Así las cosas, para la</w:t>
      </w:r>
      <w:r w:rsidR="002416B3">
        <w:rPr>
          <w:rFonts w:asciiTheme="minorHAnsi" w:eastAsia="Times New Roman" w:hAnsiTheme="minorHAnsi"/>
          <w:lang w:val="es-ES" w:eastAsia="es-CO"/>
        </w:rPr>
        <w:t>s</w:t>
      </w:r>
      <w:r>
        <w:rPr>
          <w:rFonts w:asciiTheme="minorHAnsi" w:eastAsia="Times New Roman" w:hAnsiTheme="minorHAnsi"/>
          <w:lang w:val="es-ES" w:eastAsia="es-CO"/>
        </w:rPr>
        <w:t xml:space="preserve"> empresas que hagan parte del grupo 2</w:t>
      </w:r>
      <w:r w:rsidR="002416B3">
        <w:rPr>
          <w:rFonts w:asciiTheme="minorHAnsi" w:eastAsia="Times New Roman" w:hAnsiTheme="minorHAnsi"/>
          <w:lang w:val="es-ES" w:eastAsia="es-CO"/>
        </w:rPr>
        <w:t>,</w:t>
      </w:r>
      <w:r>
        <w:rPr>
          <w:rFonts w:asciiTheme="minorHAnsi" w:eastAsia="Times New Roman" w:hAnsiTheme="minorHAnsi"/>
          <w:lang w:val="es-ES" w:eastAsia="es-CO"/>
        </w:rPr>
        <w:t xml:space="preserve"> conforme al anexo del Decreto 3022 de 2013, no podrán optar por aplicar las NIIF plenas en sus activos financieros, pues no hay </w:t>
      </w:r>
      <w:r w:rsidR="002416B3">
        <w:rPr>
          <w:rFonts w:asciiTheme="minorHAnsi" w:eastAsia="Times New Roman" w:hAnsiTheme="minorHAnsi"/>
          <w:lang w:val="es-ES" w:eastAsia="es-CO"/>
        </w:rPr>
        <w:t xml:space="preserve">base de regulación que permita para ellas la aplicación de la NIIF </w:t>
      </w:r>
      <w:r w:rsidR="00923F48">
        <w:rPr>
          <w:rFonts w:asciiTheme="minorHAnsi" w:eastAsia="Times New Roman" w:hAnsiTheme="minorHAnsi"/>
          <w:lang w:val="es-ES" w:eastAsia="es-CO"/>
        </w:rPr>
        <w:t>N°</w:t>
      </w:r>
      <w:r w:rsidR="002416B3">
        <w:rPr>
          <w:rFonts w:asciiTheme="minorHAnsi" w:eastAsia="Times New Roman" w:hAnsiTheme="minorHAnsi"/>
          <w:lang w:val="es-ES" w:eastAsia="es-CO"/>
        </w:rPr>
        <w:t>9.</w:t>
      </w:r>
    </w:p>
    <w:p w:rsidR="00D71CC1" w:rsidRDefault="002416B3" w:rsidP="00AD2E35">
      <w:pPr>
        <w:rPr>
          <w:rFonts w:asciiTheme="minorHAnsi" w:eastAsia="Times New Roman" w:hAnsiTheme="minorHAnsi"/>
          <w:lang w:val="es-ES" w:eastAsia="es-CO"/>
        </w:rPr>
      </w:pPr>
      <w:r>
        <w:rPr>
          <w:rFonts w:asciiTheme="minorHAnsi" w:eastAsia="Times New Roman" w:hAnsiTheme="minorHAnsi"/>
          <w:lang w:val="es-ES" w:eastAsia="es-CO"/>
        </w:rPr>
        <w:t xml:space="preserve">Es importante tener claro que una cosa es el modelo de IASB, en todas sus versiones, y otra las versiones incorporadas </w:t>
      </w:r>
      <w:r w:rsidR="0084114C">
        <w:rPr>
          <w:rFonts w:asciiTheme="minorHAnsi" w:eastAsia="Times New Roman" w:hAnsiTheme="minorHAnsi"/>
          <w:lang w:val="es-ES" w:eastAsia="es-CO"/>
        </w:rPr>
        <w:t>como</w:t>
      </w:r>
      <w:r>
        <w:rPr>
          <w:rFonts w:asciiTheme="minorHAnsi" w:eastAsia="Times New Roman" w:hAnsiTheme="minorHAnsi"/>
          <w:lang w:val="es-ES" w:eastAsia="es-CO"/>
        </w:rPr>
        <w:t xml:space="preserve"> regulación colombiana</w:t>
      </w:r>
      <w:r w:rsidR="00FA0984">
        <w:rPr>
          <w:rFonts w:asciiTheme="minorHAnsi" w:eastAsia="Times New Roman" w:hAnsiTheme="minorHAnsi"/>
          <w:lang w:val="es-ES" w:eastAsia="es-CO"/>
        </w:rPr>
        <w:t>,</w:t>
      </w:r>
      <w:r w:rsidR="0084114C">
        <w:rPr>
          <w:rFonts w:asciiTheme="minorHAnsi" w:eastAsia="Times New Roman" w:hAnsiTheme="minorHAnsi"/>
          <w:lang w:val="es-ES" w:eastAsia="es-CO"/>
        </w:rPr>
        <w:t xml:space="preserve"> a través</w:t>
      </w:r>
      <w:r>
        <w:rPr>
          <w:rFonts w:asciiTheme="minorHAnsi" w:eastAsia="Times New Roman" w:hAnsiTheme="minorHAnsi"/>
          <w:lang w:val="es-ES" w:eastAsia="es-CO"/>
        </w:rPr>
        <w:t xml:space="preserve"> </w:t>
      </w:r>
      <w:r w:rsidR="00923F48">
        <w:rPr>
          <w:rFonts w:asciiTheme="minorHAnsi" w:eastAsia="Times New Roman" w:hAnsiTheme="minorHAnsi"/>
          <w:lang w:val="es-ES" w:eastAsia="es-CO"/>
        </w:rPr>
        <w:t>los anexos de los Decretos 2784 de 20</w:t>
      </w:r>
      <w:r w:rsidR="00FA0984">
        <w:rPr>
          <w:rFonts w:asciiTheme="minorHAnsi" w:eastAsia="Times New Roman" w:hAnsiTheme="minorHAnsi"/>
          <w:lang w:val="es-ES" w:eastAsia="es-CO"/>
        </w:rPr>
        <w:t>12 y 3022</w:t>
      </w:r>
      <w:r w:rsidR="00923F48">
        <w:rPr>
          <w:rFonts w:asciiTheme="minorHAnsi" w:eastAsia="Times New Roman" w:hAnsiTheme="minorHAnsi"/>
          <w:lang w:val="es-ES" w:eastAsia="es-CO"/>
        </w:rPr>
        <w:t xml:space="preserve"> de 2013</w:t>
      </w:r>
      <w:r>
        <w:rPr>
          <w:rFonts w:asciiTheme="minorHAnsi" w:eastAsia="Times New Roman" w:hAnsiTheme="minorHAnsi"/>
          <w:lang w:val="es-ES" w:eastAsia="es-CO"/>
        </w:rPr>
        <w:t>.</w:t>
      </w:r>
      <w:r w:rsidR="0084114C">
        <w:rPr>
          <w:rFonts w:asciiTheme="minorHAnsi" w:eastAsia="Times New Roman" w:hAnsiTheme="minorHAnsi"/>
          <w:lang w:val="es-ES" w:eastAsia="es-CO"/>
        </w:rPr>
        <w:t xml:space="preserve"> </w:t>
      </w:r>
    </w:p>
    <w:p w:rsidR="00CC7D48" w:rsidRPr="00AD2E35" w:rsidRDefault="00923F48" w:rsidP="00AD2E35">
      <w:pPr>
        <w:rPr>
          <w:rFonts w:asciiTheme="minorHAnsi" w:eastAsia="Times New Roman" w:hAnsiTheme="minorHAnsi"/>
          <w:lang w:val="es-ES" w:eastAsia="es-CO"/>
        </w:rPr>
      </w:pPr>
      <w:r>
        <w:rPr>
          <w:rFonts w:asciiTheme="minorHAnsi" w:eastAsia="Times New Roman" w:hAnsiTheme="minorHAnsi"/>
          <w:lang w:val="es-ES" w:eastAsia="es-CO"/>
        </w:rPr>
        <w:t>Por lo tanto, n</w:t>
      </w:r>
      <w:r w:rsidR="0085540B">
        <w:rPr>
          <w:rFonts w:asciiTheme="minorHAnsi" w:eastAsia="Times New Roman" w:hAnsiTheme="minorHAnsi"/>
          <w:lang w:val="es-ES" w:eastAsia="es-CO"/>
        </w:rPr>
        <w:t xml:space="preserve">o es correcto leer en los diagnósticos </w:t>
      </w:r>
      <w:r w:rsidR="00FA0984">
        <w:rPr>
          <w:rFonts w:asciiTheme="minorHAnsi" w:eastAsia="Times New Roman" w:hAnsiTheme="minorHAnsi"/>
          <w:lang w:val="es-ES" w:eastAsia="es-CO"/>
        </w:rPr>
        <w:t xml:space="preserve"> </w:t>
      </w:r>
      <w:r w:rsidR="0085540B">
        <w:rPr>
          <w:rFonts w:asciiTheme="minorHAnsi" w:eastAsia="Times New Roman" w:hAnsiTheme="minorHAnsi"/>
          <w:lang w:val="es-ES" w:eastAsia="es-CO"/>
        </w:rPr>
        <w:t>que actualmente adelantan las PYMES</w:t>
      </w:r>
      <w:r w:rsidR="00D71CC1">
        <w:rPr>
          <w:rFonts w:asciiTheme="minorHAnsi" w:eastAsia="Times New Roman" w:hAnsiTheme="minorHAnsi"/>
          <w:lang w:val="es-ES" w:eastAsia="es-CO"/>
        </w:rPr>
        <w:t>,</w:t>
      </w:r>
      <w:r w:rsidR="0085540B">
        <w:rPr>
          <w:rFonts w:asciiTheme="minorHAnsi" w:eastAsia="Times New Roman" w:hAnsiTheme="minorHAnsi"/>
          <w:lang w:val="es-ES" w:eastAsia="es-CO"/>
        </w:rPr>
        <w:t xml:space="preserve"> que se optará por las NIIF plenas para los </w:t>
      </w:r>
      <w:r w:rsidR="00D71CC1">
        <w:rPr>
          <w:rFonts w:asciiTheme="minorHAnsi" w:eastAsia="Times New Roman" w:hAnsiTheme="minorHAnsi"/>
          <w:lang w:val="es-ES" w:eastAsia="es-CO"/>
        </w:rPr>
        <w:t>activos</w:t>
      </w:r>
      <w:r w:rsidR="0085540B">
        <w:rPr>
          <w:rFonts w:asciiTheme="minorHAnsi" w:eastAsia="Times New Roman" w:hAnsiTheme="minorHAnsi"/>
          <w:lang w:val="es-ES" w:eastAsia="es-CO"/>
        </w:rPr>
        <w:t xml:space="preserve"> financie</w:t>
      </w:r>
      <w:bookmarkStart w:id="0" w:name="_GoBack"/>
      <w:bookmarkEnd w:id="0"/>
      <w:r w:rsidR="0085540B">
        <w:rPr>
          <w:rFonts w:asciiTheme="minorHAnsi" w:eastAsia="Times New Roman" w:hAnsiTheme="minorHAnsi"/>
          <w:lang w:val="es-ES" w:eastAsia="es-CO"/>
        </w:rPr>
        <w:t>ros.</w:t>
      </w:r>
    </w:p>
    <w:p w:rsidR="00D137B9" w:rsidRPr="000F4884" w:rsidRDefault="00D137B9" w:rsidP="007A2BB5">
      <w:pPr>
        <w:spacing w:after="0"/>
        <w:rPr>
          <w:rFonts w:asciiTheme="minorHAnsi" w:eastAsia="Times New Roman" w:hAnsiTheme="minorHAnsi"/>
          <w:lang w:val="es-ES" w:eastAsia="es-CO"/>
        </w:rPr>
      </w:pPr>
    </w:p>
    <w:p w:rsidR="005957CD" w:rsidRPr="00B33D2F" w:rsidRDefault="00A26D60" w:rsidP="00A26D60">
      <w:pPr>
        <w:jc w:val="right"/>
        <w:rPr>
          <w:rFonts w:asciiTheme="minorHAnsi" w:hAnsiTheme="minorHAnsi"/>
          <w:sz w:val="24"/>
          <w:szCs w:val="24"/>
        </w:rPr>
      </w:pPr>
      <w:r w:rsidRPr="00B33D2F">
        <w:rPr>
          <w:rFonts w:asciiTheme="minorHAnsi" w:hAnsiTheme="minorHAnsi"/>
          <w:i/>
          <w:iCs/>
          <w:sz w:val="24"/>
          <w:szCs w:val="24"/>
        </w:rPr>
        <w:t>Martha Liliana Arias Bello</w:t>
      </w:r>
    </w:p>
    <w:sectPr w:rsidR="005957CD" w:rsidRPr="00B33D2F" w:rsidSect="00E801CF">
      <w:headerReference w:type="default" r:id="rId9"/>
      <w:footerReference w:type="default" r:id="rId10"/>
      <w:pgSz w:w="12240" w:h="15840"/>
      <w:pgMar w:top="1417" w:right="1701" w:bottom="1135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F68" w:rsidRDefault="007A2F68" w:rsidP="00EE7812">
      <w:pPr>
        <w:spacing w:after="0" w:line="240" w:lineRule="auto"/>
      </w:pPr>
      <w:r>
        <w:separator/>
      </w:r>
    </w:p>
  </w:endnote>
  <w:endnote w:type="continuationSeparator" w:id="0">
    <w:p w:rsidR="007A2F68" w:rsidRDefault="007A2F6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F68" w:rsidRDefault="007A2F68" w:rsidP="00EE7812">
      <w:pPr>
        <w:spacing w:after="0" w:line="240" w:lineRule="auto"/>
      </w:pPr>
      <w:r>
        <w:separator/>
      </w:r>
    </w:p>
  </w:footnote>
  <w:footnote w:type="continuationSeparator" w:id="0">
    <w:p w:rsidR="007A2F68" w:rsidRDefault="007A2F68" w:rsidP="00EE7812">
      <w:pPr>
        <w:spacing w:after="0" w:line="240" w:lineRule="auto"/>
      </w:pPr>
      <w:r>
        <w:continuationSeparator/>
      </w:r>
    </w:p>
  </w:footnote>
  <w:footnote w:id="1">
    <w:p w:rsidR="00C41C65" w:rsidRPr="00796BCB" w:rsidRDefault="00C41C65">
      <w:pPr>
        <w:pStyle w:val="Textonotapie"/>
        <w:rPr>
          <w:rFonts w:asciiTheme="minorHAnsi" w:hAnsiTheme="minorHAnsi"/>
          <w:szCs w:val="22"/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796BCB">
        <w:rPr>
          <w:rFonts w:asciiTheme="minorHAnsi" w:hAnsiTheme="minorHAnsi"/>
          <w:szCs w:val="22"/>
          <w:lang w:val="es-CO"/>
        </w:rPr>
        <w:t>NIIF PYMES Sección 12 P. 12.2</w:t>
      </w:r>
      <w:r w:rsidR="000F4884" w:rsidRPr="00796BCB">
        <w:rPr>
          <w:rFonts w:asciiTheme="minorHAnsi" w:hAnsiTheme="minorHAnsi"/>
          <w:szCs w:val="22"/>
          <w:lang w:val="es-CO"/>
        </w:rPr>
        <w:t xml:space="preserve"> - </w:t>
      </w:r>
      <w:r w:rsidR="000F4884" w:rsidRPr="00796BCB">
        <w:rPr>
          <w:rFonts w:asciiTheme="minorHAnsi" w:hAnsiTheme="minorHAnsi" w:cs="Arial,Bold"/>
          <w:bCs/>
          <w:szCs w:val="22"/>
          <w:lang w:eastAsia="es-CO"/>
        </w:rPr>
        <w:t>Elección de política contable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C7D48">
      <w:t>952</w:t>
    </w:r>
    <w:r w:rsidR="00667D4D">
      <w:t>,</w:t>
    </w:r>
    <w:r w:rsidR="009D09BB">
      <w:t xml:space="preserve"> </w:t>
    </w:r>
    <w:r w:rsidR="00CC7D48">
      <w:t>Agosto</w:t>
    </w:r>
    <w:r w:rsidR="00EF535B">
      <w:t xml:space="preserve"> </w:t>
    </w:r>
    <w:r w:rsidR="00CC7D48">
      <w:t>19</w:t>
    </w:r>
    <w:r w:rsidR="0005771D">
      <w:t xml:space="preserve"> </w:t>
    </w:r>
    <w:r w:rsidR="0080786C">
      <w:t>de 201</w:t>
    </w:r>
    <w:r w:rsidR="00CF1376">
      <w:t>4</w:t>
    </w:r>
  </w:p>
  <w:p w:rsidR="0046164F" w:rsidRDefault="007A2F68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60F4"/>
    <w:multiLevelType w:val="hybridMultilevel"/>
    <w:tmpl w:val="5F9677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22DBA"/>
    <w:multiLevelType w:val="hybridMultilevel"/>
    <w:tmpl w:val="0518B03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315A14"/>
    <w:multiLevelType w:val="hybridMultilevel"/>
    <w:tmpl w:val="F9E444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5"/>
  </w:num>
  <w:num w:numId="5">
    <w:abstractNumId w:val="13"/>
  </w:num>
  <w:num w:numId="6">
    <w:abstractNumId w:val="15"/>
  </w:num>
  <w:num w:numId="7">
    <w:abstractNumId w:val="8"/>
  </w:num>
  <w:num w:numId="8">
    <w:abstractNumId w:val="1"/>
  </w:num>
  <w:num w:numId="9">
    <w:abstractNumId w:val="7"/>
  </w:num>
  <w:num w:numId="10">
    <w:abstractNumId w:val="10"/>
  </w:num>
  <w:num w:numId="11">
    <w:abstractNumId w:val="11"/>
  </w:num>
  <w:num w:numId="12">
    <w:abstractNumId w:val="9"/>
  </w:num>
  <w:num w:numId="13">
    <w:abstractNumId w:val="14"/>
  </w:num>
  <w:num w:numId="14">
    <w:abstractNumId w:val="2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A35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1D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EFE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22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6E8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883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84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A4C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822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A3B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11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2B8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5FB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16B3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4BE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48E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83D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DE2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A93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2D2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083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63A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BC9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4C2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0C6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C7443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54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827"/>
    <w:rsid w:val="00422BEE"/>
    <w:rsid w:val="00422D72"/>
    <w:rsid w:val="00422EE5"/>
    <w:rsid w:val="0042319C"/>
    <w:rsid w:val="004233BF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72B"/>
    <w:rsid w:val="00432877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064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D9E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36E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23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60"/>
    <w:rsid w:val="004B0CA2"/>
    <w:rsid w:val="004B0E32"/>
    <w:rsid w:val="004B1090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B99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5AD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ABF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117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87D3F"/>
    <w:rsid w:val="0059080E"/>
    <w:rsid w:val="0059122A"/>
    <w:rsid w:val="00591281"/>
    <w:rsid w:val="005912D6"/>
    <w:rsid w:val="005916D3"/>
    <w:rsid w:val="00592140"/>
    <w:rsid w:val="00592192"/>
    <w:rsid w:val="005927A7"/>
    <w:rsid w:val="00592852"/>
    <w:rsid w:val="00592917"/>
    <w:rsid w:val="00592ABE"/>
    <w:rsid w:val="00592E22"/>
    <w:rsid w:val="00592EEF"/>
    <w:rsid w:val="00593247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270"/>
    <w:rsid w:val="00597392"/>
    <w:rsid w:val="005973C3"/>
    <w:rsid w:val="00597FBA"/>
    <w:rsid w:val="005A0292"/>
    <w:rsid w:val="005A0439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A4A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063A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48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BA6"/>
    <w:rsid w:val="00617F61"/>
    <w:rsid w:val="00617F90"/>
    <w:rsid w:val="00617FE7"/>
    <w:rsid w:val="0062070A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CA6"/>
    <w:rsid w:val="00627F6F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1D16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0E1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05"/>
    <w:rsid w:val="006C1624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5F1"/>
    <w:rsid w:val="006C599E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2F9F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451"/>
    <w:rsid w:val="00737B21"/>
    <w:rsid w:val="00737BAC"/>
    <w:rsid w:val="0074050E"/>
    <w:rsid w:val="00740544"/>
    <w:rsid w:val="00740C9F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6BCB"/>
    <w:rsid w:val="00797372"/>
    <w:rsid w:val="007975DD"/>
    <w:rsid w:val="00797630"/>
    <w:rsid w:val="00797E54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BB5"/>
    <w:rsid w:val="007A2CC1"/>
    <w:rsid w:val="007A2F68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1917"/>
    <w:rsid w:val="007C215E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8CE"/>
    <w:rsid w:val="007E0D38"/>
    <w:rsid w:val="007E0FB3"/>
    <w:rsid w:val="007E0FCB"/>
    <w:rsid w:val="007E147C"/>
    <w:rsid w:val="007E1535"/>
    <w:rsid w:val="007E1C36"/>
    <w:rsid w:val="007E23EC"/>
    <w:rsid w:val="007E2499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5E0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DB4"/>
    <w:rsid w:val="008410C3"/>
    <w:rsid w:val="0084114C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0B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781"/>
    <w:rsid w:val="008737B1"/>
    <w:rsid w:val="008737D5"/>
    <w:rsid w:val="00873853"/>
    <w:rsid w:val="00873940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A0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7BE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48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059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69A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9B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6BCF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2E35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CE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1D8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250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415"/>
    <w:rsid w:val="00B2558F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E6C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59D"/>
    <w:rsid w:val="00B33777"/>
    <w:rsid w:val="00B33D2F"/>
    <w:rsid w:val="00B33DF9"/>
    <w:rsid w:val="00B3405D"/>
    <w:rsid w:val="00B34182"/>
    <w:rsid w:val="00B3448F"/>
    <w:rsid w:val="00B346AB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5D8E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3D7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88"/>
    <w:rsid w:val="00B85EAD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97F67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08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C65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727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4D9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48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81A"/>
    <w:rsid w:val="00CE7A67"/>
    <w:rsid w:val="00CE7C66"/>
    <w:rsid w:val="00CE7E44"/>
    <w:rsid w:val="00CF0212"/>
    <w:rsid w:val="00CF023C"/>
    <w:rsid w:val="00CF0AFA"/>
    <w:rsid w:val="00CF1007"/>
    <w:rsid w:val="00CF10F5"/>
    <w:rsid w:val="00CF1376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395"/>
    <w:rsid w:val="00CF64ED"/>
    <w:rsid w:val="00CF66D8"/>
    <w:rsid w:val="00CF6C57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7B9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CC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C36"/>
    <w:rsid w:val="00DA5ED0"/>
    <w:rsid w:val="00DA6215"/>
    <w:rsid w:val="00DA63F5"/>
    <w:rsid w:val="00DA66A6"/>
    <w:rsid w:val="00DA68F8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B55"/>
    <w:rsid w:val="00E10CF9"/>
    <w:rsid w:val="00E10D84"/>
    <w:rsid w:val="00E10EE7"/>
    <w:rsid w:val="00E10FD2"/>
    <w:rsid w:val="00E110AB"/>
    <w:rsid w:val="00E110F4"/>
    <w:rsid w:val="00E112E8"/>
    <w:rsid w:val="00E113E6"/>
    <w:rsid w:val="00E1184A"/>
    <w:rsid w:val="00E12377"/>
    <w:rsid w:val="00E12433"/>
    <w:rsid w:val="00E12663"/>
    <w:rsid w:val="00E12C41"/>
    <w:rsid w:val="00E12C85"/>
    <w:rsid w:val="00E12FD8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FBC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54E"/>
    <w:rsid w:val="00E5060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1CF"/>
    <w:rsid w:val="00E8034D"/>
    <w:rsid w:val="00E80664"/>
    <w:rsid w:val="00E8071B"/>
    <w:rsid w:val="00E80B7D"/>
    <w:rsid w:val="00E80BB5"/>
    <w:rsid w:val="00E80EFF"/>
    <w:rsid w:val="00E8160E"/>
    <w:rsid w:val="00E81A89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95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A7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1D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35B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E88"/>
    <w:rsid w:val="00F03F24"/>
    <w:rsid w:val="00F0414D"/>
    <w:rsid w:val="00F0423D"/>
    <w:rsid w:val="00F04357"/>
    <w:rsid w:val="00F04769"/>
    <w:rsid w:val="00F04903"/>
    <w:rsid w:val="00F04945"/>
    <w:rsid w:val="00F04BDF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C72"/>
    <w:rsid w:val="00F14CA1"/>
    <w:rsid w:val="00F14CCB"/>
    <w:rsid w:val="00F14E9F"/>
    <w:rsid w:val="00F15253"/>
    <w:rsid w:val="00F152D2"/>
    <w:rsid w:val="00F15356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0C4"/>
    <w:rsid w:val="00F17451"/>
    <w:rsid w:val="00F17AC0"/>
    <w:rsid w:val="00F17B54"/>
    <w:rsid w:val="00F17BF5"/>
    <w:rsid w:val="00F17C66"/>
    <w:rsid w:val="00F17EEE"/>
    <w:rsid w:val="00F17F58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29A5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5BE5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6A0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84"/>
    <w:rsid w:val="00FA099C"/>
    <w:rsid w:val="00FA09E2"/>
    <w:rsid w:val="00FA142C"/>
    <w:rsid w:val="00FA190A"/>
    <w:rsid w:val="00FA1B04"/>
    <w:rsid w:val="00FA1D82"/>
    <w:rsid w:val="00FA2013"/>
    <w:rsid w:val="00FA27C2"/>
    <w:rsid w:val="00FA299C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1C"/>
    <w:rsid w:val="00FC1CA4"/>
    <w:rsid w:val="00FC240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F29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2E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uentedeprrafopredeter"/>
    <w:rsid w:val="005E0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Fuentedeprrafopredeter"/>
    <w:rsid w:val="005E0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5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EE8F3CE0-DA74-419B-A031-F9CB793A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3</cp:revision>
  <cp:lastPrinted>2011-08-23T16:28:00Z</cp:lastPrinted>
  <dcterms:created xsi:type="dcterms:W3CDTF">2014-08-14T22:25:00Z</dcterms:created>
  <dcterms:modified xsi:type="dcterms:W3CDTF">2014-08-14T22:27:00Z</dcterms:modified>
</cp:coreProperties>
</file>