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28" w:rsidRPr="00D50728" w:rsidRDefault="00D50728" w:rsidP="00D5072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50728">
        <w:rPr>
          <w:position w:val="-9"/>
          <w:sz w:val="123"/>
        </w:rPr>
        <w:t>D</w:t>
      </w:r>
    </w:p>
    <w:p w:rsidR="00405B12" w:rsidRDefault="00D50728" w:rsidP="004B3E22">
      <w:r>
        <w:t xml:space="preserve">urante siglos, los legisladores y los reguladores han pretendido que los destinatarios de sus normas </w:t>
      </w:r>
      <w:r w:rsidR="002867B8">
        <w:t xml:space="preserve">tengan de ellas una misma comprensión. En algunos países, además de las reglas sobre la discusión y aprobación de las normas legales, se han adoptado procedimientos de elaboración de los textos, con el ánimo de lograr </w:t>
      </w:r>
      <w:r w:rsidR="004A575A">
        <w:t xml:space="preserve">que ellos </w:t>
      </w:r>
      <w:r w:rsidR="00CA71BE">
        <w:t>se ajusten a la mejor gramática</w:t>
      </w:r>
      <w:r w:rsidR="00725FAF">
        <w:t>.</w:t>
      </w:r>
      <w:r w:rsidR="00B252D4">
        <w:t xml:space="preserve"> A partir de este esfuerzo se </w:t>
      </w:r>
      <w:r w:rsidR="00B36024">
        <w:t>sentó</w:t>
      </w:r>
      <w:r w:rsidR="00B252D4">
        <w:t xml:space="preserve"> el principio según el cual las normas deben, en primer lugar, ser entendidas según su tenor literal.</w:t>
      </w:r>
      <w:r w:rsidR="00405B12">
        <w:t xml:space="preserve"> </w:t>
      </w:r>
      <w:r w:rsidR="002D097B">
        <w:t>Algunos llegaron a pensar que, dada la perfección de los textos, solo cabría una interpretación correcta de las normas.</w:t>
      </w:r>
      <w:r w:rsidR="00625664">
        <w:t xml:space="preserve"> </w:t>
      </w:r>
      <w:r w:rsidR="000732D6">
        <w:t>Tanto la filosofía como la sociología han dejado en claro que la pretendida interpretación única es una quimera.</w:t>
      </w:r>
    </w:p>
    <w:p w:rsidR="00D377AE" w:rsidRDefault="00875176" w:rsidP="004B3E22">
      <w:r>
        <w:t>Por otra parte, una cosa es el texto normativo, que expresa un deber ser, y otra la forma como en la vida se observa, acata, aplica, cada disposición.</w:t>
      </w:r>
      <w:r w:rsidR="00D377AE">
        <w:t xml:space="preserve"> En muchas ocasiones la diversidad de las prácticas es consecuencia de la multiplicidad de interpretaciones.</w:t>
      </w:r>
    </w:p>
    <w:p w:rsidR="00D377AE" w:rsidRDefault="002947E4" w:rsidP="004B3E22">
      <w:r>
        <w:t xml:space="preserve">Así las cosas, donde quiera que hay normas hay interpretaciones y prácticas. </w:t>
      </w:r>
      <w:r w:rsidR="008507F6">
        <w:t xml:space="preserve">La diversidad de las interpretaciones provocó la </w:t>
      </w:r>
      <w:r w:rsidR="004D1CC3">
        <w:t>adopción</w:t>
      </w:r>
      <w:r w:rsidR="008507F6">
        <w:t xml:space="preserve"> de criterios y métodos hermenéuticos, así como el establecimiento de instituciones con autoridad interpretativa.</w:t>
      </w:r>
      <w:r w:rsidR="009C1E76">
        <w:t xml:space="preserve"> La diversidad de las prácticas implicó su estudio sociológico, </w:t>
      </w:r>
      <w:r w:rsidR="001C5E2F">
        <w:t>procurando su identificación y análisis, así como la sistematización de sus causas y consecuencias.</w:t>
      </w:r>
      <w:r w:rsidR="007A555A">
        <w:t xml:space="preserve"> </w:t>
      </w:r>
    </w:p>
    <w:p w:rsidR="00F51481" w:rsidRDefault="00F51481" w:rsidP="004B3E22">
      <w:r>
        <w:lastRenderedPageBreak/>
        <w:t xml:space="preserve">Puesto que los estándares contables, como los emitidos por IASB, son expresiones normativas, </w:t>
      </w:r>
      <w:r w:rsidR="007A555A">
        <w:t xml:space="preserve">inevitablemente son objeto de diversas interpretaciones y su aplicación </w:t>
      </w:r>
      <w:r w:rsidR="005151FE">
        <w:t>no es</w:t>
      </w:r>
      <w:r w:rsidR="007A555A">
        <w:t xml:space="preserve"> </w:t>
      </w:r>
      <w:r w:rsidR="005151FE">
        <w:t>homogénea</w:t>
      </w:r>
      <w:r w:rsidR="007A555A">
        <w:t>.</w:t>
      </w:r>
    </w:p>
    <w:p w:rsidR="007A555A" w:rsidRDefault="007250B5" w:rsidP="004B3E22">
      <w:r>
        <w:t>En la actualidad se considera indispensable la existencia de cuerpos y procesos interpretativos</w:t>
      </w:r>
      <w:r w:rsidR="003E2499">
        <w:t xml:space="preserve">. El </w:t>
      </w:r>
      <w:hyperlink r:id="rId9" w:history="1">
        <w:r w:rsidR="003E2499" w:rsidRPr="00590DE2">
          <w:rPr>
            <w:rStyle w:val="Hipervnculo"/>
            <w:i/>
          </w:rPr>
          <w:t xml:space="preserve">IFRS </w:t>
        </w:r>
        <w:proofErr w:type="spellStart"/>
        <w:r w:rsidR="003E2499" w:rsidRPr="00590DE2">
          <w:rPr>
            <w:rStyle w:val="Hipervnculo"/>
            <w:i/>
          </w:rPr>
          <w:t>Interpretations</w:t>
        </w:r>
        <w:proofErr w:type="spellEnd"/>
        <w:r w:rsidR="003E2499" w:rsidRPr="00590DE2">
          <w:rPr>
            <w:rStyle w:val="Hipervnculo"/>
            <w:i/>
          </w:rPr>
          <w:t xml:space="preserve"> </w:t>
        </w:r>
        <w:proofErr w:type="spellStart"/>
        <w:r w:rsidR="003E2499" w:rsidRPr="00590DE2">
          <w:rPr>
            <w:rStyle w:val="Hipervnculo"/>
            <w:i/>
          </w:rPr>
          <w:t>Committee</w:t>
        </w:r>
        <w:proofErr w:type="spellEnd"/>
      </w:hyperlink>
      <w:r w:rsidR="003E2499">
        <w:rPr>
          <w:i/>
        </w:rPr>
        <w:t xml:space="preserve"> </w:t>
      </w:r>
      <w:r w:rsidR="003E2499">
        <w:t>y su debido</w:t>
      </w:r>
      <w:r w:rsidR="00C54B5E">
        <w:t xml:space="preserve"> proceso son la forma como </w:t>
      </w:r>
      <w:hyperlink r:id="rId10" w:history="1">
        <w:r w:rsidR="000D7992" w:rsidRPr="000D7992">
          <w:rPr>
            <w:rStyle w:val="Hipervnculo"/>
          </w:rPr>
          <w:t xml:space="preserve">IFRS </w:t>
        </w:r>
        <w:proofErr w:type="spellStart"/>
        <w:r w:rsidR="000D7992" w:rsidRPr="000D7992">
          <w:rPr>
            <w:rStyle w:val="Hipervnculo"/>
          </w:rPr>
          <w:t>Foundation</w:t>
        </w:r>
        <w:proofErr w:type="spellEnd"/>
      </w:hyperlink>
      <w:r w:rsidR="000D7992">
        <w:t xml:space="preserve"> </w:t>
      </w:r>
      <w:r w:rsidR="00E1207A">
        <w:t>responde a esta realidad.</w:t>
      </w:r>
    </w:p>
    <w:p w:rsidR="005875FF" w:rsidRDefault="00B250B4" w:rsidP="005875FF">
      <w:r w:rsidRPr="00FD5B0F">
        <w:t xml:space="preserve">En la </w:t>
      </w:r>
      <w:hyperlink r:id="rId11" w:history="1">
        <w:r w:rsidRPr="00FD5B0F">
          <w:rPr>
            <w:rStyle w:val="Hipervnculo"/>
          </w:rPr>
          <w:t>reciente propuesta</w:t>
        </w:r>
      </w:hyperlink>
      <w:r w:rsidRPr="00FD5B0F">
        <w:t xml:space="preserve"> de modificaciones a IAS 12, </w:t>
      </w:r>
      <w:proofErr w:type="spellStart"/>
      <w:r w:rsidRPr="00FD5B0F">
        <w:rPr>
          <w:i/>
        </w:rPr>
        <w:t>Recognition</w:t>
      </w:r>
      <w:proofErr w:type="spellEnd"/>
      <w:r w:rsidRPr="00FD5B0F">
        <w:rPr>
          <w:i/>
        </w:rPr>
        <w:t xml:space="preserve"> of </w:t>
      </w:r>
      <w:proofErr w:type="spellStart"/>
      <w:r w:rsidRPr="00FD5B0F">
        <w:rPr>
          <w:i/>
        </w:rPr>
        <w:t>Deferred</w:t>
      </w:r>
      <w:proofErr w:type="spellEnd"/>
      <w:r w:rsidRPr="00FD5B0F">
        <w:rPr>
          <w:i/>
        </w:rPr>
        <w:t xml:space="preserve"> </w:t>
      </w:r>
      <w:proofErr w:type="spellStart"/>
      <w:r w:rsidRPr="00FD5B0F">
        <w:rPr>
          <w:i/>
        </w:rPr>
        <w:t>Tax</w:t>
      </w:r>
      <w:proofErr w:type="spellEnd"/>
      <w:r w:rsidRPr="00FD5B0F">
        <w:rPr>
          <w:i/>
        </w:rPr>
        <w:t xml:space="preserve"> </w:t>
      </w:r>
      <w:proofErr w:type="spellStart"/>
      <w:r w:rsidRPr="00FD5B0F">
        <w:rPr>
          <w:i/>
        </w:rPr>
        <w:t>Assets</w:t>
      </w:r>
      <w:proofErr w:type="spellEnd"/>
      <w:r w:rsidRPr="00FD5B0F">
        <w:rPr>
          <w:i/>
        </w:rPr>
        <w:t xml:space="preserve"> </w:t>
      </w:r>
      <w:proofErr w:type="spellStart"/>
      <w:r w:rsidRPr="00FD5B0F">
        <w:rPr>
          <w:i/>
        </w:rPr>
        <w:t>for</w:t>
      </w:r>
      <w:proofErr w:type="spellEnd"/>
      <w:r w:rsidRPr="00FD5B0F">
        <w:rPr>
          <w:i/>
        </w:rPr>
        <w:t xml:space="preserve"> </w:t>
      </w:r>
      <w:proofErr w:type="spellStart"/>
      <w:r w:rsidRPr="00FD5B0F">
        <w:rPr>
          <w:i/>
        </w:rPr>
        <w:t>Unrealised</w:t>
      </w:r>
      <w:proofErr w:type="spellEnd"/>
      <w:r w:rsidRPr="00FD5B0F">
        <w:rPr>
          <w:i/>
        </w:rPr>
        <w:t xml:space="preserve"> </w:t>
      </w:r>
      <w:proofErr w:type="spellStart"/>
      <w:r w:rsidRPr="00FD5B0F">
        <w:rPr>
          <w:i/>
        </w:rPr>
        <w:t>Losses</w:t>
      </w:r>
      <w:proofErr w:type="spellEnd"/>
      <w:r w:rsidR="00552ABC" w:rsidRPr="00FD5B0F">
        <w:rPr>
          <w:i/>
        </w:rPr>
        <w:t xml:space="preserve">, </w:t>
      </w:r>
      <w:r w:rsidR="005875FF" w:rsidRPr="00FD5B0F">
        <w:t>entre otras cosas</w:t>
      </w:r>
      <w:r w:rsidR="005875FF" w:rsidRPr="00FD5B0F">
        <w:rPr>
          <w:i/>
        </w:rPr>
        <w:t xml:space="preserve"> </w:t>
      </w:r>
      <w:r w:rsidR="005875FF" w:rsidRPr="00FD5B0F">
        <w:t>IASB señala</w:t>
      </w:r>
      <w:r w:rsidR="005875FF" w:rsidRPr="00FD5B0F">
        <w:rPr>
          <w:i/>
        </w:rPr>
        <w:t>:</w:t>
      </w:r>
      <w:r w:rsidR="00FD5B0F" w:rsidRPr="00FD5B0F">
        <w:rPr>
          <w:i/>
        </w:rPr>
        <w:t xml:space="preserve"> </w:t>
      </w:r>
      <w:r w:rsidR="005875FF" w:rsidRPr="00FD5B0F">
        <w:t>“</w:t>
      </w:r>
      <w:r w:rsidR="00FD5B0F" w:rsidRPr="00FD5B0F">
        <w:t xml:space="preserve">(…) </w:t>
      </w:r>
      <w:r w:rsidR="005875FF" w:rsidRPr="009A0DE7">
        <w:rPr>
          <w:i/>
          <w:lang w:val="en-US"/>
        </w:rPr>
        <w:t>The Interpretations Committee reported to the IASB that there is diversity in practice because of divergent views on the following issues that IAS 12 does not address directly</w:t>
      </w:r>
      <w:r w:rsidR="005875FF">
        <w:rPr>
          <w:lang w:val="en-US"/>
        </w:rPr>
        <w:t xml:space="preserve"> (…)”</w:t>
      </w:r>
      <w:r w:rsidR="00FD5B0F">
        <w:rPr>
          <w:lang w:val="en-US"/>
        </w:rPr>
        <w:t xml:space="preserve"> </w:t>
      </w:r>
      <w:r w:rsidR="005875FF">
        <w:rPr>
          <w:lang w:val="en-US"/>
        </w:rPr>
        <w:t>“</w:t>
      </w:r>
      <w:r w:rsidR="00FD5B0F">
        <w:rPr>
          <w:lang w:val="en-US"/>
        </w:rPr>
        <w:t xml:space="preserve">(…) </w:t>
      </w:r>
      <w:r w:rsidR="005875FF" w:rsidRPr="005875FF">
        <w:rPr>
          <w:i/>
          <w:lang w:val="en-US"/>
        </w:rPr>
        <w:t>The IASB observed that the main reason for the diversity in practice is uncertainty about the application of some of the principles in IAS 12</w:t>
      </w:r>
      <w:r w:rsidR="005875FF" w:rsidRPr="005875FF">
        <w:rPr>
          <w:lang w:val="en-US"/>
        </w:rPr>
        <w:t>.</w:t>
      </w:r>
      <w:r w:rsidR="00FD5B0F">
        <w:rPr>
          <w:lang w:val="en-US"/>
        </w:rPr>
        <w:t xml:space="preserve"> </w:t>
      </w:r>
      <w:r w:rsidR="00FD5B0F" w:rsidRPr="00A435FB">
        <w:t>(…)</w:t>
      </w:r>
      <w:r w:rsidR="005875FF" w:rsidRPr="00A435FB">
        <w:t>”</w:t>
      </w:r>
      <w:r w:rsidR="00A435FB" w:rsidRPr="00A435FB">
        <w:t>. La respuesta a esta problemática es la propuesta de modificaciones al est</w:t>
      </w:r>
      <w:r w:rsidR="00A435FB">
        <w:t>ándar en cuestión.</w:t>
      </w:r>
    </w:p>
    <w:p w:rsidR="00BB728F" w:rsidRDefault="003A167B" w:rsidP="005875FF">
      <w:r>
        <w:t xml:space="preserve">La investigación científica </w:t>
      </w:r>
      <w:r w:rsidR="004871F1">
        <w:t xml:space="preserve">internacional </w:t>
      </w:r>
      <w:r>
        <w:t>en materia contable ya ha demostrado que no hay homogeneidad en la aplicación de los IFRS. A parti</w:t>
      </w:r>
      <w:r w:rsidR="004871F1">
        <w:t>r</w:t>
      </w:r>
      <w:r>
        <w:t xml:space="preserve"> de allí algunos </w:t>
      </w:r>
      <w:r w:rsidR="004871F1">
        <w:t>investigadores han puesto en duda la comparabilidad de la información.</w:t>
      </w:r>
      <w:r w:rsidR="00BB728F">
        <w:t xml:space="preserve"> </w:t>
      </w:r>
    </w:p>
    <w:p w:rsidR="00132499" w:rsidRDefault="003A4A79" w:rsidP="005875FF">
      <w:r>
        <w:t>Colombia está probando su sistema de elaboración de estándares. Su aparato interpretativo es débil. Las autoridades apenas empiezan a estudiar las prácticas.</w:t>
      </w:r>
      <w:r w:rsidR="000A5294">
        <w:t xml:space="preserve"> </w:t>
      </w:r>
      <w:r w:rsidR="00FF6693">
        <w:t xml:space="preserve">Es mucho lo que está por </w:t>
      </w:r>
      <w:r w:rsidR="00975905">
        <w:t xml:space="preserve">saberse y </w:t>
      </w:r>
      <w:r w:rsidR="00FF6693">
        <w:t>definirse.</w:t>
      </w:r>
    </w:p>
    <w:p w:rsidR="00FF6693" w:rsidRPr="00FF6693" w:rsidRDefault="00FF6693" w:rsidP="00FF6693">
      <w:pPr>
        <w:jc w:val="right"/>
        <w:rPr>
          <w:i/>
        </w:rPr>
      </w:pPr>
      <w:r w:rsidRPr="00FF6693">
        <w:rPr>
          <w:i/>
        </w:rPr>
        <w:t>Hernando Bermúdez Gómez</w:t>
      </w:r>
    </w:p>
    <w:sectPr w:rsidR="00FF6693" w:rsidRPr="00FF6693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4C" w:rsidRDefault="0025484C" w:rsidP="00EE7812">
      <w:pPr>
        <w:spacing w:after="0" w:line="240" w:lineRule="auto"/>
      </w:pPr>
      <w:r>
        <w:separator/>
      </w:r>
    </w:p>
  </w:endnote>
  <w:endnote w:type="continuationSeparator" w:id="0">
    <w:p w:rsidR="0025484C" w:rsidRDefault="0025484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4C" w:rsidRDefault="0025484C" w:rsidP="00EE7812">
      <w:pPr>
        <w:spacing w:after="0" w:line="240" w:lineRule="auto"/>
      </w:pPr>
      <w:r>
        <w:separator/>
      </w:r>
    </w:p>
  </w:footnote>
  <w:footnote w:type="continuationSeparator" w:id="0">
    <w:p w:rsidR="0025484C" w:rsidRDefault="0025484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686DF4">
      <w:t>955</w:t>
    </w:r>
    <w:r w:rsidR="00667D4D">
      <w:t>,</w:t>
    </w:r>
    <w:r w:rsidR="009D09BB">
      <w:t xml:space="preserve"> </w:t>
    </w:r>
    <w:r w:rsidR="00CE451E">
      <w:t>agosto</w:t>
    </w:r>
    <w:r w:rsidR="007E2BC9">
      <w:t xml:space="preserve"> </w:t>
    </w:r>
    <w:r w:rsidR="00686DF4">
      <w:t>2</w:t>
    </w:r>
    <w:r w:rsidR="00FC527E">
      <w:t>6</w:t>
    </w:r>
    <w:r w:rsidR="007E2BC9">
      <w:t xml:space="preserve"> de 2014</w:t>
    </w:r>
  </w:p>
  <w:p w:rsidR="0046164F" w:rsidRDefault="00FC527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2D6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294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992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571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499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E2F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7D8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80B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4C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6FF6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7B8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7E4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97B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12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67B"/>
    <w:rsid w:val="003A1984"/>
    <w:rsid w:val="003A1DF3"/>
    <w:rsid w:val="003A2265"/>
    <w:rsid w:val="003A227D"/>
    <w:rsid w:val="003A32BA"/>
    <w:rsid w:val="003A3EAB"/>
    <w:rsid w:val="003A471E"/>
    <w:rsid w:val="003A4A79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499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12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1F1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5A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CC3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1FE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ABC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5FF"/>
    <w:rsid w:val="005877DF"/>
    <w:rsid w:val="00587B13"/>
    <w:rsid w:val="0059080E"/>
    <w:rsid w:val="00590DE2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01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2BA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664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DF4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0B5"/>
    <w:rsid w:val="0072513A"/>
    <w:rsid w:val="0072521F"/>
    <w:rsid w:val="007259CD"/>
    <w:rsid w:val="00725FAF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8D5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55A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29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7F6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176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7BA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905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DE7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1E76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5FB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0B4"/>
    <w:rsid w:val="00B25297"/>
    <w:rsid w:val="00B252D4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024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DFC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51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28F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5E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BE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1E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7AE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0728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4DCF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07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5D1B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5D10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1481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27E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2B03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B0F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693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Current-Projects/IASB-Projects/Recognition-of-Deferred-Tax-Assets-for-Unrealised-Losses/ED-August-2014/Documents/ED-Recognition-Deferred-Tax-IAS-12-August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rs.org/The-organisation/Governance-and-accountability/Constitution/Documents/IFRS-Foundation-Constitution-January-20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How-we-develop-Interpretations/Pages/How-do-we-maintain-IFR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E34AEF9-E6D2-4ECA-891A-40B43FEE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3</cp:revision>
  <cp:lastPrinted>2011-08-23T16:28:00Z</cp:lastPrinted>
  <dcterms:created xsi:type="dcterms:W3CDTF">2014-08-22T19:30:00Z</dcterms:created>
  <dcterms:modified xsi:type="dcterms:W3CDTF">2014-08-26T18:38:00Z</dcterms:modified>
</cp:coreProperties>
</file>