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04" w:rsidRPr="00262304" w:rsidRDefault="00A16941" w:rsidP="00262304">
      <w:pPr>
        <w:keepNext/>
        <w:framePr w:dropCap="drop" w:lines="3" w:wrap="around" w:vAnchor="text" w:hAnchor="text"/>
        <w:spacing w:after="0" w:line="926" w:lineRule="exact"/>
        <w:textAlignment w:val="baseline"/>
        <w:rPr>
          <w:position w:val="-8"/>
          <w:sz w:val="120"/>
        </w:rPr>
      </w:pPr>
      <w:r>
        <w:rPr>
          <w:position w:val="-8"/>
          <w:sz w:val="120"/>
        </w:rPr>
        <w:t>E</w:t>
      </w:r>
    </w:p>
    <w:p w:rsidR="00E302CD" w:rsidRDefault="00A16941" w:rsidP="00A16941">
      <w:r w:rsidRPr="00A16941">
        <w:t xml:space="preserve">l costo del patrimonio se ha definido como el costo que exige un inversionista por atender una alternativa de inversión, obviamente dicho costo se expresa en porcentaje y para calcularlo debemos conocer las siguientes variables: Partiendo de la definición del coeficiente beta, es pertinente decir que es el indicador que muestra la volatilidad en la rentabilidad de una acción, frente a la volatilidad en la rentabilidad del mercado. </w:t>
      </w:r>
    </w:p>
    <w:p w:rsidR="00A16941" w:rsidRPr="00A16941" w:rsidRDefault="00A16941" w:rsidP="00A16941">
      <w:r w:rsidRPr="00A16941">
        <w:t xml:space="preserve">Cuando este indicador es igual a uno, podemos concluir que la acción se mueve al mismo ritmo que el mercado, mientras que cuando es inferior a uno, determinamos que  es menos volátil que el mercado y obviamente cuando es superior a uno, será más riesgosa la acción porque presenta  mayores cambios en su rentabilidad. </w:t>
      </w:r>
    </w:p>
    <w:p w:rsidR="00A16941" w:rsidRPr="00A16941" w:rsidRDefault="00A16941" w:rsidP="00A16941">
      <w:pPr>
        <w:pStyle w:val="PredeterminadoLTUntertitel"/>
        <w:spacing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t xml:space="preserve">Por lo general siempre se considera la tasa libre de riesgo como la rentabilidad de los bonos del tesoro de los Estados Unidos. No obstante, para el caso de Colombia se puede tener en cuenta la rentabilidad de los Títulos de la Nación TES, que reflejan los bonos públicos colombianos. </w:t>
      </w:r>
    </w:p>
    <w:p w:rsidR="00A16941" w:rsidRPr="00A16941" w:rsidRDefault="00A16941" w:rsidP="00A16941">
      <w:pPr>
        <w:pStyle w:val="PredeterminadoLTUntertitel"/>
        <w:spacing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t xml:space="preserve">Por otro lado, la tasa de mercado se calcula de dos maneras: La primera  es tomando la rentabilidad del índice principal en el cuál se transan las acciones de la compañía objeto de estudio, si es que ésta cotiza en bolsa, y la segunda es teniendo en cuenta la Rentabilidad Operacional Sobre los Activos (ROA) de la industria o sector al cual pertenece la empresa, si es que ésta no cotiza en bolsa. </w:t>
      </w:r>
    </w:p>
    <w:p w:rsidR="00E302CD" w:rsidRDefault="00A16941" w:rsidP="00A16941">
      <w:pPr>
        <w:pStyle w:val="PredeterminadoLTUntertitel"/>
        <w:spacing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lastRenderedPageBreak/>
        <w:t xml:space="preserve">Para calcular el costo del patrimonio se debe tomar la tasa libre de riesgo y sumarla a la prima de riesgo (diferencia entre la tasa libre de riesgo y la tasa de mercado) y por ultimo multiplicarla por el coeficiente beta.  </w:t>
      </w:r>
    </w:p>
    <w:p w:rsidR="00A16941" w:rsidRPr="00A16941" w:rsidRDefault="00A16941" w:rsidP="00A16941">
      <w:pPr>
        <w:pStyle w:val="PredeterminadoLTUntertitel"/>
        <w:spacing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t>El anterior procedimiento se considera la forma correcta para que un inversionista pueda determinar cuál es su costo de patrimonio y se convierte en una herramienta técnica y ecuánime para apoyar la correcta toma de decisiones financieras y así escoger la mejor alternativa de inversión, tanto en Colombia como en el resto del mundo.</w:t>
      </w:r>
    </w:p>
    <w:p w:rsidR="00A16941" w:rsidRPr="00A16941" w:rsidRDefault="00A16941" w:rsidP="00A16941">
      <w:pPr>
        <w:pStyle w:val="PredeterminadoLTUntertitel"/>
        <w:spacing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t>De todas maneras, el principio fundamental de todo inversionista es diversificar eficientemente su dinero. Existen diferentes formas de diversificar, por ejemplo, por intermediarios financieros, por grupos económicos, por países, por monedas, por tipos de mercado y por otras inversiones. Al diversificar lo que está haciendo el inversor es disminuir el nivel de riesgo que corre cuando coloca sus excedentes de liquidez en diferentes opciones.</w:t>
      </w:r>
      <w:bookmarkStart w:id="0" w:name="_GoBack"/>
      <w:bookmarkEnd w:id="0"/>
    </w:p>
    <w:p w:rsidR="00A16941" w:rsidRPr="00A16941" w:rsidRDefault="00A16941" w:rsidP="00A16941">
      <w:pPr>
        <w:pStyle w:val="PredeterminadoLTUntertitel"/>
        <w:spacing w:after="0" w:line="276" w:lineRule="auto"/>
        <w:jc w:val="left"/>
        <w:rPr>
          <w:rFonts w:ascii="Calibri" w:eastAsia="Calibri" w:hAnsi="Calibri"/>
          <w:color w:val="auto"/>
          <w:kern w:val="0"/>
          <w:sz w:val="22"/>
          <w:szCs w:val="22"/>
          <w:lang w:val="es-CO" w:eastAsia="en-US"/>
        </w:rPr>
      </w:pPr>
      <w:r w:rsidRPr="00A16941">
        <w:rPr>
          <w:rFonts w:ascii="Calibri" w:eastAsia="Calibri" w:hAnsi="Calibri"/>
          <w:color w:val="auto"/>
          <w:kern w:val="0"/>
          <w:sz w:val="22"/>
          <w:szCs w:val="22"/>
          <w:lang w:val="es-CO" w:eastAsia="en-US"/>
        </w:rPr>
        <w:t>Sin embargo, la cultura juega un papel importante en este tema, ya que por lo general, nosotros los colombianos somos cortoplacistas y queremos altas rentabilidades con el menor esfuerzo posible.  Sin duda, el nivel de conocimiento, asesoría y actualización financiera, permitirán disminuir los riesgos e incrementar los beneficios de una inversión</w:t>
      </w:r>
    </w:p>
    <w:p w:rsidR="00A16941" w:rsidRPr="00A16941" w:rsidRDefault="00A16941" w:rsidP="00A16941">
      <w:pPr>
        <w:pStyle w:val="PredeterminadoLTUntertitel"/>
        <w:spacing w:after="0" w:line="276" w:lineRule="auto"/>
        <w:jc w:val="left"/>
        <w:rPr>
          <w:rFonts w:ascii="Calibri" w:eastAsia="Calibri" w:hAnsi="Calibri"/>
          <w:color w:val="auto"/>
          <w:kern w:val="0"/>
          <w:sz w:val="22"/>
          <w:szCs w:val="22"/>
          <w:lang w:val="es-CO" w:eastAsia="en-US"/>
        </w:rPr>
      </w:pPr>
    </w:p>
    <w:p w:rsidR="00A16941" w:rsidRPr="00A16941" w:rsidRDefault="00A16941" w:rsidP="00A16941">
      <w:pPr>
        <w:pStyle w:val="PredeterminadoLTUntertitel"/>
        <w:spacing w:after="0" w:line="276" w:lineRule="auto"/>
        <w:jc w:val="right"/>
        <w:rPr>
          <w:rFonts w:ascii="Calibri" w:eastAsia="Calibri" w:hAnsi="Calibri"/>
          <w:i/>
          <w:color w:val="auto"/>
          <w:kern w:val="0"/>
          <w:sz w:val="22"/>
          <w:szCs w:val="22"/>
          <w:lang w:val="es-CO" w:eastAsia="en-US"/>
        </w:rPr>
      </w:pPr>
      <w:proofErr w:type="spellStart"/>
      <w:r w:rsidRPr="00A16941">
        <w:rPr>
          <w:rFonts w:ascii="Calibri" w:eastAsia="Calibri" w:hAnsi="Calibri"/>
          <w:i/>
          <w:color w:val="auto"/>
          <w:kern w:val="0"/>
          <w:sz w:val="22"/>
          <w:szCs w:val="22"/>
          <w:lang w:val="es-CO" w:eastAsia="en-US"/>
        </w:rPr>
        <w:t>Helber</w:t>
      </w:r>
      <w:proofErr w:type="spellEnd"/>
      <w:r w:rsidRPr="00A16941">
        <w:rPr>
          <w:rFonts w:ascii="Calibri" w:eastAsia="Calibri" w:hAnsi="Calibri"/>
          <w:i/>
          <w:color w:val="auto"/>
          <w:kern w:val="0"/>
          <w:sz w:val="22"/>
          <w:szCs w:val="22"/>
          <w:lang w:val="es-CO" w:eastAsia="en-US"/>
        </w:rPr>
        <w:t xml:space="preserve"> Mauricio Monroy Pedraza</w:t>
      </w:r>
    </w:p>
    <w:sectPr w:rsidR="00A16941" w:rsidRPr="00A1694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EAC" w:rsidRDefault="00E06EAC" w:rsidP="00EE7812">
      <w:pPr>
        <w:spacing w:after="0" w:line="240" w:lineRule="auto"/>
      </w:pPr>
      <w:r>
        <w:separator/>
      </w:r>
    </w:p>
  </w:endnote>
  <w:endnote w:type="continuationSeparator" w:id="0">
    <w:p w:rsidR="00E06EAC" w:rsidRDefault="00E06E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 Sans">
    <w:altName w:val="MS Mincho"/>
    <w:charset w:val="80"/>
    <w:family w:val="auto"/>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EAC" w:rsidRDefault="00E06EAC" w:rsidP="00EE7812">
      <w:pPr>
        <w:spacing w:after="0" w:line="240" w:lineRule="auto"/>
      </w:pPr>
      <w:r>
        <w:separator/>
      </w:r>
    </w:p>
  </w:footnote>
  <w:footnote w:type="continuationSeparator" w:id="0">
    <w:p w:rsidR="00E06EAC" w:rsidRDefault="00E06E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2492F">
      <w:t>95</w:t>
    </w:r>
    <w:r w:rsidR="00781825">
      <w:t>7</w:t>
    </w:r>
    <w:r w:rsidR="00667D4D">
      <w:t>,</w:t>
    </w:r>
    <w:r w:rsidR="009D09BB">
      <w:t xml:space="preserve"> </w:t>
    </w:r>
    <w:r w:rsidR="00D2492F">
      <w:t>septiembre 1°</w:t>
    </w:r>
    <w:r w:rsidR="007E2BC9">
      <w:t xml:space="preserve"> de 2014</w:t>
    </w:r>
  </w:p>
  <w:p w:rsidR="0046164F" w:rsidRDefault="00E06EA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1522"/>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177EC"/>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7F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19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22E"/>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66"/>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4CE"/>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0F"/>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304"/>
    <w:rsid w:val="00262510"/>
    <w:rsid w:val="002625A3"/>
    <w:rsid w:val="002626EC"/>
    <w:rsid w:val="00262838"/>
    <w:rsid w:val="002628DB"/>
    <w:rsid w:val="00262CE7"/>
    <w:rsid w:val="00262E72"/>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2EB"/>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D03"/>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B23"/>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11A"/>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53"/>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7C4"/>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8D"/>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DF4"/>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C11"/>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BD4"/>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850"/>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59C"/>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2F51"/>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52"/>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D63"/>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2E41"/>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7A"/>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4E"/>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25"/>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6C84"/>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79E"/>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B7B"/>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6"/>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0DE"/>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9E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B2B"/>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7B8"/>
    <w:rsid w:val="008C79A3"/>
    <w:rsid w:val="008D0892"/>
    <w:rsid w:val="008D09AC"/>
    <w:rsid w:val="008D0AF6"/>
    <w:rsid w:val="008D0F2B"/>
    <w:rsid w:val="008D1064"/>
    <w:rsid w:val="008D112D"/>
    <w:rsid w:val="008D15C3"/>
    <w:rsid w:val="008D15E7"/>
    <w:rsid w:val="008D17A1"/>
    <w:rsid w:val="008D18CC"/>
    <w:rsid w:val="008D1A62"/>
    <w:rsid w:val="008D1C0E"/>
    <w:rsid w:val="008D1DF1"/>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D7FBF"/>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1CCC"/>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0AB"/>
    <w:rsid w:val="00900293"/>
    <w:rsid w:val="009003C9"/>
    <w:rsid w:val="00900899"/>
    <w:rsid w:val="00900996"/>
    <w:rsid w:val="00900998"/>
    <w:rsid w:val="009009A5"/>
    <w:rsid w:val="00900EBC"/>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3D2"/>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06DC"/>
    <w:rsid w:val="0094104F"/>
    <w:rsid w:val="0094105D"/>
    <w:rsid w:val="009410D3"/>
    <w:rsid w:val="0094123A"/>
    <w:rsid w:val="0094148B"/>
    <w:rsid w:val="009414BE"/>
    <w:rsid w:val="009416E1"/>
    <w:rsid w:val="00941864"/>
    <w:rsid w:val="00941943"/>
    <w:rsid w:val="00941AA9"/>
    <w:rsid w:val="00941AEB"/>
    <w:rsid w:val="00941B72"/>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1B83"/>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96D"/>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941"/>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2BD"/>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227"/>
    <w:rsid w:val="00A54526"/>
    <w:rsid w:val="00A54731"/>
    <w:rsid w:val="00A5473E"/>
    <w:rsid w:val="00A54897"/>
    <w:rsid w:val="00A548CA"/>
    <w:rsid w:val="00A54C85"/>
    <w:rsid w:val="00A54C9A"/>
    <w:rsid w:val="00A54F4F"/>
    <w:rsid w:val="00A5542B"/>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33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60E"/>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0F1B"/>
    <w:rsid w:val="00AF12EA"/>
    <w:rsid w:val="00AF178F"/>
    <w:rsid w:val="00AF1C27"/>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58D"/>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450"/>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530"/>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190"/>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6E30"/>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92E"/>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74"/>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41D"/>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92F"/>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46"/>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5BB"/>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52E"/>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AC"/>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2CD"/>
    <w:rsid w:val="00E308AC"/>
    <w:rsid w:val="00E30A35"/>
    <w:rsid w:val="00E30B02"/>
    <w:rsid w:val="00E30DD6"/>
    <w:rsid w:val="00E317FE"/>
    <w:rsid w:val="00E31994"/>
    <w:rsid w:val="00E319C1"/>
    <w:rsid w:val="00E31AEA"/>
    <w:rsid w:val="00E31C8E"/>
    <w:rsid w:val="00E31F55"/>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1BB"/>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360"/>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4B"/>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959"/>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9AC"/>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0E"/>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3BE"/>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A1694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A1694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20DE953-70C7-4585-A2F6-27FDFE8A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3</cp:revision>
  <cp:lastPrinted>2011-08-23T16:28:00Z</cp:lastPrinted>
  <dcterms:created xsi:type="dcterms:W3CDTF">2014-08-28T20:49:00Z</dcterms:created>
  <dcterms:modified xsi:type="dcterms:W3CDTF">2014-08-28T20:51:00Z</dcterms:modified>
</cp:coreProperties>
</file>