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8" w:rsidRPr="00401108" w:rsidRDefault="00401108" w:rsidP="0040110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401108">
        <w:rPr>
          <w:position w:val="-7"/>
          <w:sz w:val="121"/>
        </w:rPr>
        <w:t>U</w:t>
      </w:r>
    </w:p>
    <w:p w:rsidR="00973B6F" w:rsidRDefault="00106FFB" w:rsidP="004B3E22">
      <w:r>
        <w:t>no de los mayores cambios que habrán de ocurrir al aplicar las n</w:t>
      </w:r>
      <w:r w:rsidR="00D01BA3">
        <w:t xml:space="preserve">uevas reglas contenidas en los </w:t>
      </w:r>
      <w:hyperlink r:id="rId9" w:history="1">
        <w:r w:rsidR="00D01BA3" w:rsidRPr="006D3B26">
          <w:rPr>
            <w:rStyle w:val="Hipervnculo"/>
          </w:rPr>
          <w:t>D</w:t>
        </w:r>
        <w:r w:rsidRPr="006D3B26">
          <w:rPr>
            <w:rStyle w:val="Hipervnculo"/>
          </w:rPr>
          <w:t>ecretos</w:t>
        </w:r>
      </w:hyperlink>
      <w:r>
        <w:t xml:space="preserve"> </w:t>
      </w:r>
      <w:r w:rsidR="00D01BA3">
        <w:t xml:space="preserve">2706 y 2784 de 2012, </w:t>
      </w:r>
      <w:r>
        <w:t xml:space="preserve">1851, </w:t>
      </w:r>
      <w:r w:rsidR="00D01BA3">
        <w:t>3019, 3022, 3023 y 3024 de 2013</w:t>
      </w:r>
      <w:r w:rsidR="008C0C1D">
        <w:t>,</w:t>
      </w:r>
      <w:r w:rsidR="00F81603">
        <w:t xml:space="preserve"> es el que tiene que ver con el contenido de las notas a los estados financieros.</w:t>
      </w:r>
      <w:bookmarkStart w:id="0" w:name="_GoBack"/>
      <w:bookmarkEnd w:id="0"/>
    </w:p>
    <w:p w:rsidR="00F81603" w:rsidRDefault="00F81603" w:rsidP="004B3E22">
      <w:r>
        <w:t xml:space="preserve">En desarrollo de las características de comprensibilidad y revelación plena, las normas anteriores (como por ejemplo el </w:t>
      </w:r>
      <w:hyperlink r:id="rId10" w:history="1">
        <w:r w:rsidRPr="008C0C1D">
          <w:rPr>
            <w:rStyle w:val="Hipervnculo"/>
          </w:rPr>
          <w:t>Decreto 2649 de 1993</w:t>
        </w:r>
      </w:hyperlink>
      <w:r>
        <w:t>) consagra</w:t>
      </w:r>
      <w:r w:rsidR="00942A42">
        <w:t>ba</w:t>
      </w:r>
      <w:r>
        <w:t xml:space="preserve">n el contenido mínimo que debían tener las notas a los estados financieros. Estas </w:t>
      </w:r>
      <w:r w:rsidR="00942A42">
        <w:t>disposiciones</w:t>
      </w:r>
      <w:r>
        <w:t xml:space="preserve"> </w:t>
      </w:r>
      <w:r w:rsidR="00C91742">
        <w:t>fueron inaplicadas por muchos</w:t>
      </w:r>
      <w:r w:rsidR="00942A42">
        <w:t>, al tiempo que</w:t>
      </w:r>
      <w:r w:rsidR="00C91742">
        <w:t xml:space="preserve"> otros tantos se limitaron a detallar el </w:t>
      </w:r>
      <w:r w:rsidR="0035720C">
        <w:t>monto</w:t>
      </w:r>
      <w:r w:rsidR="00C91742">
        <w:t xml:space="preserve"> de las subcuentas que conformaban el saldo revelado en los respectivos estados financieros. </w:t>
      </w:r>
      <w:r w:rsidR="000E3EB9">
        <w:t>Diversas</w:t>
      </w:r>
      <w:r w:rsidR="00C91742">
        <w:t xml:space="preserve"> publicaciones de los preparadores y varias bases de datos del Gobierno omiten las notas a los estados financieros.</w:t>
      </w:r>
    </w:p>
    <w:p w:rsidR="000E3EB9" w:rsidRDefault="000E3EB9" w:rsidP="004B3E22">
      <w:r>
        <w:t xml:space="preserve">Si las nuevas reglas se cumplen a cabalidad, los preparadores deberán cambiar su enfoque cuantitativo y habrán de </w:t>
      </w:r>
      <w:r w:rsidR="00D74376">
        <w:t xml:space="preserve">incluir </w:t>
      </w:r>
      <w:r w:rsidR="004C54A0">
        <w:t xml:space="preserve">en las notas </w:t>
      </w:r>
      <w:r w:rsidR="00D74376">
        <w:t>mayores explicaciones sobre los criterios y datos tenidos en cuenta al reconocer y medir las partidas incluidas en los estados financieros.</w:t>
      </w:r>
      <w:r w:rsidR="00E0483D">
        <w:t xml:space="preserve"> Consecuentemente, para que esto sea eficaz, las publicaciones y las bases de datos deberán comprender las citadas notas.</w:t>
      </w:r>
    </w:p>
    <w:p w:rsidR="00CE6534" w:rsidRDefault="00CE6534" w:rsidP="004B3E22">
      <w:r>
        <w:t xml:space="preserve">Para una profesión </w:t>
      </w:r>
      <w:r w:rsidR="006A3B10">
        <w:t>en gran parte</w:t>
      </w:r>
      <w:r>
        <w:t xml:space="preserve"> </w:t>
      </w:r>
      <w:r w:rsidR="00946372">
        <w:t xml:space="preserve">mal </w:t>
      </w:r>
      <w:r>
        <w:t xml:space="preserve">preparada en </w:t>
      </w:r>
      <w:r w:rsidR="00946372">
        <w:t xml:space="preserve">gramática, </w:t>
      </w:r>
      <w:r>
        <w:t>redacción y ortografía, las nuevas exigencias sobre las notas serán un gran reto.</w:t>
      </w:r>
      <w:r w:rsidR="00F57ECB">
        <w:t xml:space="preserve"> En muchos casos los preparadores esperaran que sus revisores fiscales y auditores las preparen y no faltarán </w:t>
      </w:r>
      <w:r w:rsidR="00A62663">
        <w:lastRenderedPageBreak/>
        <w:t>aseguradores</w:t>
      </w:r>
      <w:r w:rsidR="00F57ECB">
        <w:t xml:space="preserve"> que </w:t>
      </w:r>
      <w:r w:rsidR="00A62663">
        <w:t>efectivamente se ocupen de ello.</w:t>
      </w:r>
      <w:r w:rsidR="002056C2">
        <w:t xml:space="preserve"> Será muy interesante reflexionar sobre los argumentos que expongan preparadores, revisores y supervisores sobre si se pierde o no independencia cuando el auditor redacta las notas (anticipo que algunos sostendrán que lo que importa no es quien redacta sino quien aprueba las notas)</w:t>
      </w:r>
      <w:r w:rsidR="00045014">
        <w:t>.</w:t>
      </w:r>
    </w:p>
    <w:p w:rsidR="00045014" w:rsidRDefault="00045014" w:rsidP="005F2DA3">
      <w:pPr>
        <w:rPr>
          <w:lang w:val="en-US"/>
        </w:rPr>
      </w:pPr>
      <w:r>
        <w:t>Las notas a los estados financieros pueden ser redactadas en muchas formas. La investigación científica contable ha demostrado que ciertos giros y estrategias lingüísticas tienen mayor impacto en los inversionistas que otras formas de expresión.</w:t>
      </w:r>
      <w:r w:rsidR="005F2DA3">
        <w:t xml:space="preserve"> </w:t>
      </w:r>
      <w:proofErr w:type="spellStart"/>
      <w:r w:rsidR="005F2DA3" w:rsidRPr="005F2DA3">
        <w:rPr>
          <w:lang w:val="en-US"/>
        </w:rPr>
        <w:t>Véase</w:t>
      </w:r>
      <w:proofErr w:type="spellEnd"/>
      <w:r w:rsidR="005F2DA3" w:rsidRPr="005F2DA3">
        <w:rPr>
          <w:lang w:val="en-US"/>
        </w:rPr>
        <w:t xml:space="preserve">, </w:t>
      </w:r>
      <w:proofErr w:type="spellStart"/>
      <w:r w:rsidR="005F2DA3" w:rsidRPr="005F2DA3">
        <w:rPr>
          <w:lang w:val="en-US"/>
        </w:rPr>
        <w:t>por</w:t>
      </w:r>
      <w:proofErr w:type="spellEnd"/>
      <w:r w:rsidR="005F2DA3" w:rsidRPr="005F2DA3">
        <w:rPr>
          <w:lang w:val="en-US"/>
        </w:rPr>
        <w:t xml:space="preserve"> </w:t>
      </w:r>
      <w:proofErr w:type="spellStart"/>
      <w:r w:rsidR="005F2DA3" w:rsidRPr="005F2DA3">
        <w:rPr>
          <w:lang w:val="en-US"/>
        </w:rPr>
        <w:t>ejemplo</w:t>
      </w:r>
      <w:proofErr w:type="spellEnd"/>
      <w:r w:rsidR="005F2DA3" w:rsidRPr="005F2DA3">
        <w:rPr>
          <w:lang w:val="en-US"/>
        </w:rPr>
        <w:t xml:space="preserve">, el </w:t>
      </w:r>
      <w:hyperlink r:id="rId11" w:history="1">
        <w:proofErr w:type="spellStart"/>
        <w:r w:rsidR="005F2DA3" w:rsidRPr="00001E2B">
          <w:rPr>
            <w:rStyle w:val="Hipervnculo"/>
            <w:lang w:val="en-US"/>
          </w:rPr>
          <w:t>artículo</w:t>
        </w:r>
        <w:proofErr w:type="spellEnd"/>
      </w:hyperlink>
      <w:r w:rsidR="005F2DA3" w:rsidRPr="005F2DA3">
        <w:rPr>
          <w:lang w:val="en-US"/>
        </w:rPr>
        <w:t xml:space="preserve"> de Tracey J. Riley, </w:t>
      </w:r>
      <w:proofErr w:type="spellStart"/>
      <w:r w:rsidR="005F2DA3" w:rsidRPr="005F2DA3">
        <w:rPr>
          <w:lang w:val="en-US"/>
        </w:rPr>
        <w:t>G</w:t>
      </w:r>
      <w:r w:rsidR="00001E2B">
        <w:rPr>
          <w:lang w:val="en-US"/>
        </w:rPr>
        <w:t>ü</w:t>
      </w:r>
      <w:r w:rsidR="005F2DA3" w:rsidRPr="005F2DA3">
        <w:rPr>
          <w:lang w:val="en-US"/>
        </w:rPr>
        <w:t>n</w:t>
      </w:r>
      <w:proofErr w:type="spellEnd"/>
      <w:r w:rsidR="005F2DA3" w:rsidRPr="005F2DA3">
        <w:rPr>
          <w:lang w:val="en-US"/>
        </w:rPr>
        <w:t xml:space="preserve"> R. </w:t>
      </w:r>
      <w:proofErr w:type="spellStart"/>
      <w:r w:rsidR="005F2DA3" w:rsidRPr="005F2DA3">
        <w:rPr>
          <w:lang w:val="en-US"/>
        </w:rPr>
        <w:t>Semin</w:t>
      </w:r>
      <w:proofErr w:type="spellEnd"/>
      <w:r w:rsidR="005F2DA3" w:rsidRPr="005F2DA3">
        <w:rPr>
          <w:lang w:val="en-US"/>
        </w:rPr>
        <w:t xml:space="preserve"> y Alex C. Yen, </w:t>
      </w:r>
      <w:proofErr w:type="spellStart"/>
      <w:r w:rsidR="005F2DA3" w:rsidRPr="005F2DA3">
        <w:rPr>
          <w:lang w:val="en-US"/>
        </w:rPr>
        <w:t>titulado</w:t>
      </w:r>
      <w:proofErr w:type="spellEnd"/>
      <w:r w:rsidR="005F2DA3" w:rsidRPr="005F2DA3">
        <w:rPr>
          <w:lang w:val="en-US"/>
        </w:rPr>
        <w:t xml:space="preserve"> </w:t>
      </w:r>
      <w:r w:rsidR="005F2DA3" w:rsidRPr="00001E2B">
        <w:rPr>
          <w:i/>
          <w:lang w:val="en-US"/>
        </w:rPr>
        <w:t>Patterns of Language Use in Accounting Narratives and Their Impact on Investment-Related Judgments and Decisions</w:t>
      </w:r>
      <w:r w:rsidR="005F2DA3" w:rsidRPr="005F2DA3">
        <w:rPr>
          <w:lang w:val="en-US"/>
        </w:rPr>
        <w:t xml:space="preserve"> (</w:t>
      </w:r>
      <w:r w:rsidR="000B0287">
        <w:rPr>
          <w:lang w:val="en-US"/>
        </w:rPr>
        <w:t>B</w:t>
      </w:r>
      <w:r w:rsidR="00001E2B" w:rsidRPr="005F2DA3">
        <w:rPr>
          <w:lang w:val="en-US"/>
        </w:rPr>
        <w:t>ehavioral research in accounting</w:t>
      </w:r>
      <w:r w:rsidR="005F2DA3">
        <w:rPr>
          <w:lang w:val="en-US"/>
        </w:rPr>
        <w:t xml:space="preserve">, </w:t>
      </w:r>
      <w:r w:rsidR="00647D15" w:rsidRPr="00647D15">
        <w:rPr>
          <w:lang w:val="en-US"/>
        </w:rPr>
        <w:t>Vol. 26, No. 1</w:t>
      </w:r>
      <w:r w:rsidR="00647D15">
        <w:rPr>
          <w:lang w:val="en-US"/>
        </w:rPr>
        <w:t xml:space="preserve">, </w:t>
      </w:r>
      <w:r w:rsidR="00647D15" w:rsidRPr="00647D15">
        <w:rPr>
          <w:lang w:val="en-US"/>
        </w:rPr>
        <w:t>2014</w:t>
      </w:r>
      <w:r w:rsidR="00647D15">
        <w:rPr>
          <w:lang w:val="en-US"/>
        </w:rPr>
        <w:t xml:space="preserve">, </w:t>
      </w:r>
      <w:r w:rsidR="00647D15" w:rsidRPr="00647D15">
        <w:rPr>
          <w:lang w:val="en-US"/>
        </w:rPr>
        <w:t>pp. 59–84</w:t>
      </w:r>
      <w:r w:rsidR="00647D15">
        <w:rPr>
          <w:lang w:val="en-US"/>
        </w:rPr>
        <w:t>)</w:t>
      </w:r>
      <w:r w:rsidR="000B0287">
        <w:rPr>
          <w:lang w:val="en-US"/>
        </w:rPr>
        <w:t>.</w:t>
      </w:r>
    </w:p>
    <w:p w:rsidR="003523C2" w:rsidRDefault="003523C2" w:rsidP="005F2DA3">
      <w:r w:rsidRPr="003523C2">
        <w:t>Los estándares internacionales sobre información financier</w:t>
      </w:r>
      <w:r w:rsidR="008E5236">
        <w:t>a</w:t>
      </w:r>
      <w:r w:rsidRPr="003523C2">
        <w:t xml:space="preserve"> señalan muchas cuestiones que deben ser reveladas, pero </w:t>
      </w:r>
      <w:r w:rsidR="00B656FD">
        <w:t>no disponen có</w:t>
      </w:r>
      <w:r w:rsidR="008E5236">
        <w:t xml:space="preserve">mo debe </w:t>
      </w:r>
      <w:r w:rsidR="00AA538C">
        <w:t>hacerse</w:t>
      </w:r>
      <w:r w:rsidR="008E5236">
        <w:t xml:space="preserve"> la redacción respectiva. Los preparadores tienen grandes incentivos para minimizar los datos negativos y para magnificar los datos positivos. </w:t>
      </w:r>
      <w:r w:rsidR="0070495B">
        <w:t xml:space="preserve">Si se mantiene la posición que </w:t>
      </w:r>
      <w:r w:rsidR="00B967D3">
        <w:t xml:space="preserve">varios </w:t>
      </w:r>
      <w:r w:rsidR="0070495B">
        <w:t xml:space="preserve">han tenido en el pasado, </w:t>
      </w:r>
      <w:r w:rsidR="00B967D3">
        <w:t xml:space="preserve">un número de </w:t>
      </w:r>
      <w:r w:rsidR="0070495B">
        <w:t>revisores fiscales y entidades de supervisión serán muy flexibles y poco exigentes</w:t>
      </w:r>
      <w:r w:rsidR="00B967D3">
        <w:t>.</w:t>
      </w:r>
    </w:p>
    <w:p w:rsidR="00A637C9" w:rsidRDefault="00A637C9" w:rsidP="005F2DA3">
      <w:r>
        <w:t xml:space="preserve">Así que hay un gran peligro de que </w:t>
      </w:r>
      <w:r w:rsidR="00B5300C">
        <w:t>al preparar las</w:t>
      </w:r>
      <w:r>
        <w:t xml:space="preserve"> notas a los estados financieros </w:t>
      </w:r>
      <w:r w:rsidR="00AA538C">
        <w:t xml:space="preserve">en Colombia </w:t>
      </w:r>
      <w:r>
        <w:t>las leyes se obedezcan pero no se cumplan.</w:t>
      </w:r>
    </w:p>
    <w:p w:rsidR="00A637C9" w:rsidRPr="00A637C9" w:rsidRDefault="00A637C9" w:rsidP="00A637C9">
      <w:pPr>
        <w:jc w:val="right"/>
        <w:rPr>
          <w:i/>
        </w:rPr>
      </w:pPr>
      <w:r w:rsidRPr="00A637C9">
        <w:rPr>
          <w:i/>
        </w:rPr>
        <w:t>Hernando Bermúdez Gómez</w:t>
      </w:r>
    </w:p>
    <w:sectPr w:rsidR="00A637C9" w:rsidRPr="00A637C9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97" w:rsidRDefault="00D82597" w:rsidP="00EE7812">
      <w:pPr>
        <w:spacing w:after="0" w:line="240" w:lineRule="auto"/>
      </w:pPr>
      <w:r>
        <w:separator/>
      </w:r>
    </w:p>
  </w:endnote>
  <w:endnote w:type="continuationSeparator" w:id="0">
    <w:p w:rsidR="00D82597" w:rsidRDefault="00D8259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97" w:rsidRDefault="00D82597" w:rsidP="00EE7812">
      <w:pPr>
        <w:spacing w:after="0" w:line="240" w:lineRule="auto"/>
      </w:pPr>
      <w:r>
        <w:separator/>
      </w:r>
    </w:p>
  </w:footnote>
  <w:footnote w:type="continuationSeparator" w:id="0">
    <w:p w:rsidR="00D82597" w:rsidRDefault="00D8259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F11E1">
      <w:t>973</w:t>
    </w:r>
    <w:r w:rsidR="00667D4D">
      <w:t>,</w:t>
    </w:r>
    <w:r w:rsidR="009D09BB">
      <w:t xml:space="preserve"> </w:t>
    </w:r>
    <w:r w:rsidR="00106FFB">
      <w:t>septiembre</w:t>
    </w:r>
    <w:r w:rsidR="007E2BC9">
      <w:t xml:space="preserve"> </w:t>
    </w:r>
    <w:r w:rsidR="003F11E1">
      <w:t>22</w:t>
    </w:r>
    <w:r w:rsidR="007E2BC9">
      <w:t xml:space="preserve"> de 2014</w:t>
    </w:r>
  </w:p>
  <w:p w:rsidR="0046164F" w:rsidRDefault="00D8259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1E2B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014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2CC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287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3EB9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6FFB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879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6C2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3C2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0C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1E1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0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4A0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DA3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D15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10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B26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95B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C1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236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42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372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663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7C9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38C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11D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00C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6FD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7D3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1C0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742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534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BA3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6EE3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376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597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83D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57EC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6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nection.ebscohost.com/c/articles/95594970/patterns-language-use-accounting-narratives-their-impact-investment-related-judgments-decision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1993-decreto-264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cit.gov.co/publicaciones.php?id=64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CB85DEF8-1262-42AB-9A6E-987E5EF49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2014-09-18T19:22:00Z</dcterms:created>
  <dcterms:modified xsi:type="dcterms:W3CDTF">2014-09-18T19:22:00Z</dcterms:modified>
</cp:coreProperties>
</file>