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AF" w:rsidRPr="00E860AF" w:rsidRDefault="00E860AF" w:rsidP="00E860A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E860AF">
        <w:rPr>
          <w:position w:val="-9"/>
          <w:sz w:val="123"/>
        </w:rPr>
        <w:t>E</w:t>
      </w:r>
    </w:p>
    <w:p w:rsidR="00973B6F" w:rsidRDefault="001E10F3" w:rsidP="004B3E22">
      <w:r>
        <w:t xml:space="preserve">n el año </w:t>
      </w:r>
      <w:hyperlink r:id="rId9" w:history="1">
        <w:r w:rsidRPr="00E860AF">
          <w:rPr>
            <w:rStyle w:val="Hipervnculo"/>
          </w:rPr>
          <w:t>200</w:t>
        </w:r>
        <w:bookmarkStart w:id="0" w:name="_GoBack"/>
        <w:bookmarkEnd w:id="0"/>
        <w:r w:rsidRPr="00E860AF">
          <w:rPr>
            <w:rStyle w:val="Hipervnculo"/>
          </w:rPr>
          <w:t>7</w:t>
        </w:r>
      </w:hyperlink>
      <w:r>
        <w:t xml:space="preserve"> se propuso la expedición de una ley que obligara a las empresas colombianas </w:t>
      </w:r>
      <w:r w:rsidR="00E860AF">
        <w:t xml:space="preserve">a adoptar </w:t>
      </w:r>
      <w:r w:rsidR="00E860AF" w:rsidRPr="00E860AF">
        <w:t>las Normas Internacionales de Información Financiera para la presentación de sus informes contables</w:t>
      </w:r>
      <w:r w:rsidR="00E860AF">
        <w:t>.</w:t>
      </w:r>
    </w:p>
    <w:p w:rsidR="00E860AF" w:rsidRDefault="00F11642" w:rsidP="001C0821">
      <w:r>
        <w:t xml:space="preserve">Como se sabe, ese proyecto fue objeto de profundas modificaciones. Una de ellas, políticamente muy importante, consistió en establecer que los estándares internacionales deben ser objeto de estudio </w:t>
      </w:r>
      <w:r w:rsidR="003A03C1">
        <w:t xml:space="preserve">previo </w:t>
      </w:r>
      <w:r>
        <w:t xml:space="preserve">por las autoridades </w:t>
      </w:r>
      <w:r w:rsidR="00FD35CA">
        <w:t>nacionales</w:t>
      </w:r>
      <w:r w:rsidR="004853EF">
        <w:t xml:space="preserve">, quienes deben concluir si ellos </w:t>
      </w:r>
      <w:r w:rsidR="001C0821">
        <w:t xml:space="preserve">resultarían eficaces o apropiados </w:t>
      </w:r>
      <w:r w:rsidR="00145025">
        <w:t>para los entes en Colombia.</w:t>
      </w:r>
    </w:p>
    <w:p w:rsidR="00145025" w:rsidRDefault="006017A8" w:rsidP="001C0821">
      <w:r>
        <w:t xml:space="preserve">El mecanismo de estudio previo a la inserción de los estándares no es exclusivo de Colombia. </w:t>
      </w:r>
      <w:r w:rsidR="009A63C1">
        <w:t xml:space="preserve">La más importante jurisdicción en apoyar la aplicación de los hoy IFRS es Europa. Sin las decisiones de ella en favor de </w:t>
      </w:r>
      <w:r w:rsidR="006A799B">
        <w:t>las NIFF</w:t>
      </w:r>
      <w:r w:rsidR="00082EB5">
        <w:t xml:space="preserve"> éstas no tendrían la importancia ni la acogida de la que hoy gozan. </w:t>
      </w:r>
      <w:r w:rsidR="00326FFB">
        <w:t>Más aún: dudosamente IASB podría sobrevivir sin el apoyo financiero de Europa y de los países que la integran.</w:t>
      </w:r>
      <w:r w:rsidR="00531E63">
        <w:t xml:space="preserve"> Pues bien: en Europa también es obligatorio el estudio previo de los estándares y se requiere de incorporación expresa</w:t>
      </w:r>
      <w:r w:rsidR="00BF5C00">
        <w:t>, tal como en Colombia.</w:t>
      </w:r>
    </w:p>
    <w:p w:rsidR="00D77CDF" w:rsidRDefault="00D77CDF" w:rsidP="001C0821">
      <w:r>
        <w:t>El papel del mecanismo de estudio previo es verificar la calidad de las normas y su conveniencia para quienes las acojan.</w:t>
      </w:r>
      <w:r w:rsidR="002C6549">
        <w:t xml:space="preserve"> Así, además de asegurarse que los estándares </w:t>
      </w:r>
      <w:r w:rsidR="002C6549" w:rsidRPr="002C6549">
        <w:t xml:space="preserve"> favorezcan el interés público </w:t>
      </w:r>
      <w:hyperlink r:id="rId10" w:history="1">
        <w:r w:rsidR="002C6549" w:rsidRPr="00BA73B4">
          <w:rPr>
            <w:rStyle w:val="Hipervnculo"/>
          </w:rPr>
          <w:t>europeo</w:t>
        </w:r>
      </w:hyperlink>
      <w:r w:rsidR="002C6549">
        <w:t xml:space="preserve">, esas autoridades deben asegurar que </w:t>
      </w:r>
      <w:r w:rsidR="00BA73B4">
        <w:t xml:space="preserve">los estándares </w:t>
      </w:r>
      <w:r w:rsidR="00BA73B4" w:rsidRPr="00BA73B4">
        <w:t xml:space="preserve">cumplan los requisitos de comprensibilidad, pertinencia, fiabilidad y comparabilidad de la información financiera </w:t>
      </w:r>
      <w:r w:rsidR="00BA73B4" w:rsidRPr="00BA73B4">
        <w:lastRenderedPageBreak/>
        <w:t>necesarios para tomar decisiones en materia económica y evaluar la gestión de la dirección</w:t>
      </w:r>
      <w:r w:rsidR="00BA73B4">
        <w:t>.</w:t>
      </w:r>
    </w:p>
    <w:p w:rsidR="00FD70D0" w:rsidRDefault="00FD70D0" w:rsidP="001C0821">
      <w:r>
        <w:t xml:space="preserve">En países que no han acogido los estándares internacionales, como los </w:t>
      </w:r>
      <w:hyperlink r:id="rId11" w:history="1">
        <w:r w:rsidRPr="006B2E87">
          <w:rPr>
            <w:rStyle w:val="Hipervnculo"/>
          </w:rPr>
          <w:t>Estados Unidos de América</w:t>
        </w:r>
      </w:hyperlink>
      <w:r>
        <w:t>, las respectivas autoridades también han entendido que deben velar por la conveniencia para sus propios mercados.</w:t>
      </w:r>
    </w:p>
    <w:p w:rsidR="009A2592" w:rsidRDefault="00B47D6F" w:rsidP="001C0821">
      <w:r>
        <w:t xml:space="preserve">Al analizar las ya </w:t>
      </w:r>
      <w:hyperlink r:id="rId12" w:history="1">
        <w:r w:rsidRPr="001F46E5">
          <w:rPr>
            <w:rStyle w:val="Hipervnculo"/>
          </w:rPr>
          <w:t>antiguas oposiciones</w:t>
        </w:r>
      </w:hyperlink>
      <w:r>
        <w:t xml:space="preserve"> del sector solidario y las respuestas de las autoridades colombianas, </w:t>
      </w:r>
      <w:r w:rsidR="0017340D">
        <w:t xml:space="preserve">entre ellas </w:t>
      </w:r>
      <w:r>
        <w:t xml:space="preserve">la reciente petición de </w:t>
      </w:r>
      <w:hyperlink r:id="rId13" w:history="1">
        <w:proofErr w:type="spellStart"/>
        <w:r w:rsidRPr="00105A55">
          <w:rPr>
            <w:rStyle w:val="Hipervnculo"/>
          </w:rPr>
          <w:t>Analfe</w:t>
        </w:r>
        <w:proofErr w:type="spellEnd"/>
      </w:hyperlink>
      <w:r>
        <w:t xml:space="preserve"> y la respuesta del </w:t>
      </w:r>
      <w:hyperlink r:id="rId14" w:history="1">
        <w:r w:rsidRPr="00105A55">
          <w:rPr>
            <w:rStyle w:val="Hipervnculo"/>
          </w:rPr>
          <w:t>CTCP</w:t>
        </w:r>
      </w:hyperlink>
      <w:r>
        <w:t>, no nos queda claro si las autoridades colombianas están defendiendo los intereses nacionales o las manifestaciones de IASB.</w:t>
      </w:r>
      <w:r w:rsidR="009A2592">
        <w:t xml:space="preserve"> Más aún: no sabemos si las autoridades colombianas en lugar de proteger a la Nación están adoptando una posición de defensa de sus propias decisiones.</w:t>
      </w:r>
      <w:r w:rsidR="00A63354">
        <w:t xml:space="preserve"> El punto es clave: el sistema de la </w:t>
      </w:r>
      <w:hyperlink r:id="rId15" w:history="1">
        <w:r w:rsidR="00A63354" w:rsidRPr="009656C7">
          <w:rPr>
            <w:rStyle w:val="Hipervnculo"/>
          </w:rPr>
          <w:t>Ley 1314 de 2009</w:t>
        </w:r>
      </w:hyperlink>
      <w:r w:rsidR="00A63354">
        <w:t xml:space="preserve"> se justifica en precautelar </w:t>
      </w:r>
      <w:r w:rsidR="002039A1">
        <w:t>al pueblo colombiano. Si esto no se hace, tal ley sobraría y debería derogarse.</w:t>
      </w:r>
    </w:p>
    <w:p w:rsidR="009656C7" w:rsidRDefault="009656C7" w:rsidP="001C0821">
      <w:r>
        <w:t>La protección de los intereses nacionales no significa darle la razón</w:t>
      </w:r>
      <w:r w:rsidR="0072016A">
        <w:t>, sin más,</w:t>
      </w:r>
      <w:r>
        <w:t xml:space="preserve"> a los opositores, como lo han sido la izquierda o el sector solidario. Significa </w:t>
      </w:r>
      <w:r w:rsidR="00C050E0">
        <w:t>hacer un análisis de los estándares, en el que las normas de IASB estén sometidas a juicio</w:t>
      </w:r>
      <w:r w:rsidR="0072016A">
        <w:t xml:space="preserve">, el cual debe fallarse a partir </w:t>
      </w:r>
      <w:r w:rsidR="009D16C5">
        <w:t>de argumentos que resistan el cuestionamiento propio de las ciencias.</w:t>
      </w:r>
      <w:r w:rsidR="00BF6945">
        <w:t xml:space="preserve"> Es así como se decide acoger una norma u oponerse a ella, como lo ha hecho Europa y como lo están haciendo otras jurisdicciones.</w:t>
      </w:r>
      <w:r w:rsidR="00E16F43">
        <w:t xml:space="preserve"> </w:t>
      </w:r>
    </w:p>
    <w:p w:rsidR="005C0470" w:rsidRDefault="005C0470" w:rsidP="001C0821">
      <w:r>
        <w:t>Un juez no puede actuar como si fuera, ni en favor de, una de las partes en contienda.</w:t>
      </w:r>
    </w:p>
    <w:p w:rsidR="00E16F43" w:rsidRPr="005C0470" w:rsidRDefault="005C0470" w:rsidP="005C0470">
      <w:pPr>
        <w:jc w:val="right"/>
        <w:rPr>
          <w:i/>
        </w:rPr>
      </w:pPr>
      <w:r w:rsidRPr="005C0470">
        <w:rPr>
          <w:i/>
        </w:rPr>
        <w:t>Hernando Bermúdez Gómez</w:t>
      </w:r>
      <w:r w:rsidR="00E16F43" w:rsidRPr="005C0470">
        <w:rPr>
          <w:i/>
        </w:rPr>
        <w:t xml:space="preserve"> </w:t>
      </w:r>
    </w:p>
    <w:sectPr w:rsidR="00E16F43" w:rsidRPr="005C0470" w:rsidSect="007F1D21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B7" w:rsidRDefault="009D1DB7" w:rsidP="00EE7812">
      <w:pPr>
        <w:spacing w:after="0" w:line="240" w:lineRule="auto"/>
      </w:pPr>
      <w:r>
        <w:separator/>
      </w:r>
    </w:p>
  </w:endnote>
  <w:endnote w:type="continuationSeparator" w:id="0">
    <w:p w:rsidR="009D1DB7" w:rsidRDefault="009D1DB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B7" w:rsidRDefault="009D1DB7" w:rsidP="00EE7812">
      <w:pPr>
        <w:spacing w:after="0" w:line="240" w:lineRule="auto"/>
      </w:pPr>
      <w:r>
        <w:separator/>
      </w:r>
    </w:p>
  </w:footnote>
  <w:footnote w:type="continuationSeparator" w:id="0">
    <w:p w:rsidR="009D1DB7" w:rsidRDefault="009D1DB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F183B">
      <w:t>978</w:t>
    </w:r>
    <w:r w:rsidR="00667D4D">
      <w:t>,</w:t>
    </w:r>
    <w:r w:rsidR="009D09BB">
      <w:t xml:space="preserve"> </w:t>
    </w:r>
    <w:r w:rsidR="00110C7E">
      <w:t>septiembre</w:t>
    </w:r>
    <w:r w:rsidR="007E2BC9">
      <w:t xml:space="preserve"> </w:t>
    </w:r>
    <w:r w:rsidR="002F183B">
      <w:t>22</w:t>
    </w:r>
    <w:r w:rsidR="007E2BC9">
      <w:t xml:space="preserve"> de 2014</w:t>
    </w:r>
  </w:p>
  <w:p w:rsidR="0046164F" w:rsidRDefault="009D1DB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EB5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A55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C7E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39B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025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40D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821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0F3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6E5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9A1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549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83B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6FFB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3C1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5DE8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919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3EF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1E63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470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7A8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99B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87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16A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6C7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592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3C1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6C5"/>
    <w:rsid w:val="009D1DB7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354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47D6F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3B4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C00"/>
    <w:rsid w:val="00BF5DF4"/>
    <w:rsid w:val="00BF62D8"/>
    <w:rsid w:val="00BF64B3"/>
    <w:rsid w:val="00BF6945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0E0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CDF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6F43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0AF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642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5CA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0D0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alfe.org.co/pdf/Documento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tcp.gov.co/comite!.php?hash_id=1679091c5a880faf6fb5e6087eb1b2dc&amp;comite_id=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sb.org/jsp/FASB/Page/SectionPage&amp;cid=117615624566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leycontable/contadores/2009-ley-1314.pdf" TargetMode="External"/><Relationship Id="rId10" Type="http://schemas.openxmlformats.org/officeDocument/2006/relationships/hyperlink" Target="http://eur-lex.europa.eu/legal-content/ES/TXT/?uri=CELEX:02002R1606-2008041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7-proyectodeley-165C.htm" TargetMode="External"/><Relationship Id="rId14" Type="http://schemas.openxmlformats.org/officeDocument/2006/relationships/hyperlink" Target="http://www.ctcp.gov.co/index!.php?NEWS_ID=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EFC3884D-99CD-4F84-AD03-0173F4A1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2014-09-18T19:47:00Z</dcterms:created>
  <dcterms:modified xsi:type="dcterms:W3CDTF">2014-09-18T19:47:00Z</dcterms:modified>
</cp:coreProperties>
</file>