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FC" w:rsidRPr="003D64FC" w:rsidRDefault="003D64FC" w:rsidP="003D64F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3D64FC">
        <w:rPr>
          <w:position w:val="-8"/>
          <w:sz w:val="120"/>
        </w:rPr>
        <w:t>C</w:t>
      </w:r>
    </w:p>
    <w:p w:rsidR="00973B6F" w:rsidRDefault="003D64FC" w:rsidP="004B3E22">
      <w:r>
        <w:t>ada vez se hará más evidente la falta del examen inicial</w:t>
      </w:r>
      <w:r w:rsidR="00DD3893">
        <w:t xml:space="preserve"> que </w:t>
      </w:r>
      <w:hyperlink r:id="rId9" w:history="1">
        <w:r w:rsidR="00DD3893" w:rsidRPr="007F0133">
          <w:rPr>
            <w:rStyle w:val="Hipervnculo"/>
          </w:rPr>
          <w:t>ha debido hacer</w:t>
        </w:r>
      </w:hyperlink>
      <w:r w:rsidR="00DD3893">
        <w:t xml:space="preserve"> y no hizo el Consejo Técnico de la Contaduría Pública, según se esperaba al tenor del artículo </w:t>
      </w:r>
      <w:r w:rsidR="00944FEC">
        <w:t xml:space="preserve">13 de la </w:t>
      </w:r>
      <w:hyperlink r:id="rId10" w:history="1">
        <w:r w:rsidR="00944FEC" w:rsidRPr="00944FEC">
          <w:rPr>
            <w:rStyle w:val="Hipervnculo"/>
          </w:rPr>
          <w:t>Ley 1314 de 2009</w:t>
        </w:r>
      </w:hyperlink>
      <w:r w:rsidR="00944FEC">
        <w:t>.</w:t>
      </w:r>
    </w:p>
    <w:p w:rsidR="009F3EA0" w:rsidRDefault="00CD21D2" w:rsidP="004B3E22">
      <w:r>
        <w:t>Sin duda alguna los estudios previos habrían dado lugar a una mejor regulación</w:t>
      </w:r>
      <w:r w:rsidR="00566485">
        <w:t>.</w:t>
      </w:r>
      <w:r w:rsidR="00366218">
        <w:t xml:space="preserve"> Tal como si hicieron las cosas, en lugar de haber anticipado dificultades, las vamos a ir enfrentando en el futuro, en lo cual nos demoraremos un gran tiempo.</w:t>
      </w:r>
      <w:r w:rsidR="00017A7D">
        <w:t xml:space="preserve"> Esa forma de hacer las cosas generará grandes consumos de recursos, que engrosarán las arcas de los consultores de turno, </w:t>
      </w:r>
      <w:r w:rsidR="00F35465">
        <w:t>que el País habría podido minimizar.</w:t>
      </w:r>
    </w:p>
    <w:p w:rsidR="00F35465" w:rsidRDefault="006E4B43" w:rsidP="004B3E22">
      <w:r>
        <w:t>Entre las cosas que el examen inicial hubiera detectado, porque es de gran magnitud, es la sincronía entre el sistema legal y la regulación contable</w:t>
      </w:r>
      <w:r w:rsidR="00DA29AE">
        <w:t xml:space="preserve">. </w:t>
      </w:r>
      <w:r w:rsidR="00151641">
        <w:t xml:space="preserve">Algunos, equivocados, creen que el problema se reduce a la aplicación del principio de esencia sobre forma, también llamado de realidad económica. </w:t>
      </w:r>
    </w:p>
    <w:p w:rsidR="00861F66" w:rsidRDefault="00484B2D" w:rsidP="004B3E22">
      <w:r>
        <w:t>Dicha sincronía está incrustada</w:t>
      </w:r>
      <w:r w:rsidR="00D93507">
        <w:t xml:space="preserve"> en nuestra cultura, tanto contable como jurídica.</w:t>
      </w:r>
      <w:r w:rsidR="00F26DF1">
        <w:t xml:space="preserve"> Consecuentemente ella está reflejada en muchísimas disposiciones legales</w:t>
      </w:r>
      <w:r w:rsidR="00AC4545">
        <w:t>, en diversos estatutos, en la gran mayoría de los contratos, en las sentencias de nuestros jueces</w:t>
      </w:r>
      <w:r w:rsidR="00EB10C7">
        <w:t xml:space="preserve">, </w:t>
      </w:r>
      <w:r w:rsidR="00AC4545">
        <w:t>en nuestra doctrina</w:t>
      </w:r>
      <w:r w:rsidR="00EB10C7">
        <w:t>, en nuestras prácticas de negocio</w:t>
      </w:r>
      <w:r w:rsidR="000D76EB">
        <w:t xml:space="preserve">. Varias de esas disposiciones son de mayor jerarquía que las reglamentaciones apoyadas en la Ley 1314, citada. Por lo tanto éstas no podrán derogar a aquéllas. </w:t>
      </w:r>
      <w:r w:rsidR="00DB1BCC">
        <w:t>Como ya señalamos,</w:t>
      </w:r>
      <w:r w:rsidR="000D76EB">
        <w:t xml:space="preserve"> el asunto </w:t>
      </w:r>
      <w:hyperlink r:id="rId11" w:history="1">
        <w:r w:rsidR="000D76EB" w:rsidRPr="00D3275C">
          <w:rPr>
            <w:rStyle w:val="Hipervnculo"/>
          </w:rPr>
          <w:t>no se resolverá</w:t>
        </w:r>
      </w:hyperlink>
      <w:r w:rsidR="000D76EB">
        <w:t xml:space="preserve"> simplemente invocado el aludido principio de realidad económica.</w:t>
      </w:r>
    </w:p>
    <w:p w:rsidR="002D7B78" w:rsidRDefault="00C23901" w:rsidP="004B3E22">
      <w:r>
        <w:lastRenderedPageBreak/>
        <w:t xml:space="preserve">Una de las instituciones jurídicas básicas del mundo entero es la personalidad jurídica. En tono a la personalidad se ha desarrollado una teoría, también mundial, milenaria. Según esa teoría toda persona goza de unos atributos, los cuales definen </w:t>
      </w:r>
      <w:r w:rsidR="00F22EEA">
        <w:t xml:space="preserve">su situación jurídica. </w:t>
      </w:r>
      <w:r w:rsidR="00262C4B">
        <w:t>Además del nombre, el domicilio, la capacidad, la nacionalidad, el estado (llamado civil cuando se predica de las personas naturales o físicas)</w:t>
      </w:r>
      <w:r w:rsidR="00E32170">
        <w:t>, toda persona tiene un patrimonio.</w:t>
      </w:r>
    </w:p>
    <w:p w:rsidR="00E32170" w:rsidRDefault="009F42ED" w:rsidP="004B3E22">
      <w:r>
        <w:t xml:space="preserve">Así las cosas, por más que apliquen las normas internacionales de información financiera, </w:t>
      </w:r>
      <w:r w:rsidR="00E17856">
        <w:t xml:space="preserve">las entidades de economía solidaria, en cuanto personas </w:t>
      </w:r>
      <w:proofErr w:type="gramStart"/>
      <w:r w:rsidR="00E17856">
        <w:t>jurídicas</w:t>
      </w:r>
      <w:proofErr w:type="gramEnd"/>
      <w:r w:rsidR="00E17856">
        <w:t>, tienen y tendrán patrimonio, el cual es inalienable.</w:t>
      </w:r>
      <w:r w:rsidR="00420D5F">
        <w:t xml:space="preserve"> En esto nada tiene que ver que su capital sea variable (por cierto que en el mundo hay empresas comerciales de capital variable inscritas en bolsa y aplicando IFRS).</w:t>
      </w:r>
    </w:p>
    <w:p w:rsidR="00234B0A" w:rsidRDefault="00234B0A" w:rsidP="004B3E22">
      <w:r>
        <w:t xml:space="preserve">El concepto de IASB sobre patrimonio está lejos de corresponder al concepto de patrimonio </w:t>
      </w:r>
      <w:r w:rsidR="002110B7">
        <w:t>como atributo de la personalidad</w:t>
      </w:r>
      <w:r>
        <w:t xml:space="preserve">. Mientras </w:t>
      </w:r>
      <w:r w:rsidR="002110B7">
        <w:t>este</w:t>
      </w:r>
      <w:r>
        <w:t xml:space="preserve"> concepto jurídico está claramente definido y es universal, el concepto de IASB está en plena reflexión, como se advierte al estudiar los </w:t>
      </w:r>
      <w:hyperlink r:id="rId12" w:history="1">
        <w:r w:rsidRPr="00676C7F">
          <w:rPr>
            <w:rStyle w:val="Hipervnculo"/>
          </w:rPr>
          <w:t>documentos</w:t>
        </w:r>
      </w:hyperlink>
      <w:r>
        <w:t xml:space="preserve"> </w:t>
      </w:r>
      <w:r w:rsidR="008515D9">
        <w:t>elaborados dentro del proyecto de marco conceptual.</w:t>
      </w:r>
    </w:p>
    <w:p w:rsidR="002110B7" w:rsidRDefault="00860EA8" w:rsidP="004B3E22">
      <w:r>
        <w:t>Debido a sus implicaciones en asuntos como la regulación prudencial y el régimen de insolvencia, s</w:t>
      </w:r>
      <w:r w:rsidR="007338FF">
        <w:t>erá inevitable resolver cómo se refleja</w:t>
      </w:r>
      <w:r w:rsidR="005E6DEB">
        <w:t>rá</w:t>
      </w:r>
      <w:r w:rsidR="007338FF">
        <w:t xml:space="preserve"> en la contabilidad el patrimonio entendido como atributo de la personalidad. </w:t>
      </w:r>
    </w:p>
    <w:p w:rsidR="00860EA8" w:rsidRPr="00860EA8" w:rsidRDefault="00860EA8" w:rsidP="00860EA8">
      <w:pPr>
        <w:jc w:val="right"/>
        <w:rPr>
          <w:i/>
        </w:rPr>
      </w:pPr>
      <w:r w:rsidRPr="00860EA8">
        <w:rPr>
          <w:i/>
        </w:rPr>
        <w:t>Hernando Bermúdez Gómez</w:t>
      </w:r>
    </w:p>
    <w:sectPr w:rsidR="00860EA8" w:rsidRPr="00860EA8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01A" w:rsidRDefault="001D501A" w:rsidP="00EE7812">
      <w:pPr>
        <w:spacing w:after="0" w:line="240" w:lineRule="auto"/>
      </w:pPr>
      <w:r>
        <w:separator/>
      </w:r>
    </w:p>
  </w:endnote>
  <w:endnote w:type="continuationSeparator" w:id="0">
    <w:p w:rsidR="001D501A" w:rsidRDefault="001D501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01A" w:rsidRDefault="001D501A" w:rsidP="00EE7812">
      <w:pPr>
        <w:spacing w:after="0" w:line="240" w:lineRule="auto"/>
      </w:pPr>
      <w:r>
        <w:separator/>
      </w:r>
    </w:p>
  </w:footnote>
  <w:footnote w:type="continuationSeparator" w:id="0">
    <w:p w:rsidR="001D501A" w:rsidRDefault="001D501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E3428">
      <w:t>986</w:t>
    </w:r>
    <w:r w:rsidR="00667D4D">
      <w:t>,</w:t>
    </w:r>
    <w:r w:rsidR="009D09BB">
      <w:t xml:space="preserve"> </w:t>
    </w:r>
    <w:r w:rsidR="00F505A3">
      <w:t>septiembre</w:t>
    </w:r>
    <w:r w:rsidR="007E2BC9">
      <w:t xml:space="preserve"> </w:t>
    </w:r>
    <w:r w:rsidR="00FE59C5">
      <w:t>30</w:t>
    </w:r>
    <w:r w:rsidR="007E2BC9">
      <w:t xml:space="preserve"> de 2014</w:t>
    </w:r>
  </w:p>
  <w:p w:rsidR="0046164F" w:rsidRDefault="00FE59C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17A7D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6EB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641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4AB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01A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0B7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B0A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4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B78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218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4FC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D5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B2D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407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8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998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6DEB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C7F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B43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8FF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133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5D9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A8"/>
    <w:rsid w:val="00860EF7"/>
    <w:rsid w:val="008616DB"/>
    <w:rsid w:val="008616E5"/>
    <w:rsid w:val="00861E57"/>
    <w:rsid w:val="00861F66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C7FBB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4FEC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6CD4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6F3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3EA0"/>
    <w:rsid w:val="009F42ED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545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3901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1D2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28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75C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17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507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9AE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BCC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893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856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170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0C7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2EEA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DF1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465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3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9C5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frs.org/Meetings/Pages/IASB-Sep-14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contrapartida/Contrapartida625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javeriana.edu.co/personales/hbermude/leycontable/contadores/2009-ley-13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187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8620B58C-052D-434F-AB87-228C6289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Braulio Adriano Rodriguez Castro</cp:lastModifiedBy>
  <cp:revision>3</cp:revision>
  <cp:lastPrinted>2011-08-23T16:28:00Z</cp:lastPrinted>
  <dcterms:created xsi:type="dcterms:W3CDTF">2014-09-25T19:05:00Z</dcterms:created>
  <dcterms:modified xsi:type="dcterms:W3CDTF">2014-09-30T11:21:00Z</dcterms:modified>
</cp:coreProperties>
</file>