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51" w:rsidRDefault="007B0A51" w:rsidP="00545C9C">
      <w:pPr>
        <w:jc w:val="both"/>
      </w:pPr>
      <w:r>
        <w:t>Bogotá, julio 23 de 2010</w:t>
      </w:r>
    </w:p>
    <w:p w:rsidR="00AA0652" w:rsidRDefault="00AA0652" w:rsidP="00545C9C">
      <w:pPr>
        <w:jc w:val="both"/>
      </w:pPr>
    </w:p>
    <w:p w:rsidR="007B0A51" w:rsidRDefault="007B0A51" w:rsidP="00545C9C">
      <w:pPr>
        <w:jc w:val="both"/>
      </w:pPr>
      <w:r>
        <w:t>Señores</w:t>
      </w:r>
    </w:p>
    <w:p w:rsidR="007B0A51" w:rsidRPr="006B1A15" w:rsidRDefault="007B0A51" w:rsidP="00545C9C">
      <w:pPr>
        <w:jc w:val="both"/>
        <w:rPr>
          <w:smallCaps/>
        </w:rPr>
      </w:pPr>
      <w:r w:rsidRPr="006B1A15">
        <w:rPr>
          <w:smallCaps/>
        </w:rPr>
        <w:t>Consejo Técnico de la Contaduría Pública</w:t>
      </w:r>
    </w:p>
    <w:p w:rsidR="007B0A51" w:rsidRDefault="007B0A51" w:rsidP="00545C9C">
      <w:pPr>
        <w:jc w:val="both"/>
      </w:pPr>
      <w:r>
        <w:t>Atención:</w:t>
      </w:r>
    </w:p>
    <w:p w:rsidR="007B0A51" w:rsidRDefault="00F94635" w:rsidP="00545C9C">
      <w:pPr>
        <w:jc w:val="both"/>
      </w:pPr>
      <w:hyperlink r:id="rId8" w:history="1">
        <w:r w:rsidR="007B0A51" w:rsidRPr="00225A0A">
          <w:rPr>
            <w:rStyle w:val="Hipervnculo"/>
          </w:rPr>
          <w:t>egarciap@mincomercio.gov.co</w:t>
        </w:r>
      </w:hyperlink>
    </w:p>
    <w:p w:rsidR="007B0A51" w:rsidRDefault="00F94635" w:rsidP="00545C9C">
      <w:pPr>
        <w:jc w:val="both"/>
      </w:pPr>
      <w:hyperlink r:id="rId9" w:history="1">
        <w:r w:rsidR="007B0A51" w:rsidRPr="00225A0A">
          <w:rPr>
            <w:rStyle w:val="Hipervnculo"/>
          </w:rPr>
          <w:t>gserrano@mincomercio.gov.co</w:t>
        </w:r>
      </w:hyperlink>
    </w:p>
    <w:p w:rsidR="007B0A51" w:rsidRDefault="00F94635" w:rsidP="00545C9C">
      <w:pPr>
        <w:jc w:val="both"/>
      </w:pPr>
      <w:hyperlink r:id="rId10" w:history="1">
        <w:r w:rsidR="007B0A51" w:rsidRPr="00225A0A">
          <w:rPr>
            <w:rStyle w:val="Hipervnculo"/>
          </w:rPr>
          <w:t>gsuarez@mincomercio.gov.co</w:t>
        </w:r>
      </w:hyperlink>
    </w:p>
    <w:p w:rsidR="007B0A51" w:rsidRDefault="00F94635" w:rsidP="00545C9C">
      <w:pPr>
        <w:jc w:val="both"/>
      </w:pPr>
      <w:hyperlink r:id="rId11" w:history="1">
        <w:r w:rsidR="007B0A51" w:rsidRPr="00225A0A">
          <w:rPr>
            <w:rStyle w:val="Hipervnculo"/>
          </w:rPr>
          <w:t>lcolmenares@mincomercio.gov.co</w:t>
        </w:r>
      </w:hyperlink>
    </w:p>
    <w:p w:rsidR="007B0A51" w:rsidRDefault="00F94635" w:rsidP="00545C9C">
      <w:pPr>
        <w:jc w:val="both"/>
      </w:pPr>
      <w:hyperlink r:id="rId12" w:history="1">
        <w:r w:rsidR="007B0A51" w:rsidRPr="00225A0A">
          <w:rPr>
            <w:rStyle w:val="Hipervnculo"/>
          </w:rPr>
          <w:t>pmartinez@mincomercio.gov.co</w:t>
        </w:r>
      </w:hyperlink>
    </w:p>
    <w:p w:rsidR="007B0A51" w:rsidRDefault="006B1A15" w:rsidP="00545C9C">
      <w:pPr>
        <w:jc w:val="both"/>
      </w:pPr>
      <w:r>
        <w:t>Vía correo electrónico</w:t>
      </w:r>
    </w:p>
    <w:p w:rsidR="00AA0652" w:rsidRDefault="00AA0652" w:rsidP="00545C9C">
      <w:pPr>
        <w:jc w:val="both"/>
      </w:pPr>
    </w:p>
    <w:p w:rsidR="006B1A15" w:rsidRDefault="006B1A15" w:rsidP="00545C9C">
      <w:pPr>
        <w:jc w:val="both"/>
      </w:pPr>
      <w:r>
        <w:t>Distinguidos Señores:</w:t>
      </w:r>
    </w:p>
    <w:p w:rsidR="006B1A15" w:rsidRDefault="006B1A15" w:rsidP="00545C9C">
      <w:pPr>
        <w:jc w:val="both"/>
      </w:pPr>
      <w:r>
        <w:t>Atendiendo la invitación formulada a través de la web</w:t>
      </w:r>
      <w:r>
        <w:rPr>
          <w:rStyle w:val="Refdenotaalpie"/>
        </w:rPr>
        <w:footnoteReference w:id="2"/>
      </w:r>
      <w:r>
        <w:t xml:space="preserve">, me permito poner en su conocimiento </w:t>
      </w:r>
      <w:r w:rsidR="00AA0652">
        <w:t>las opiniones de</w:t>
      </w:r>
      <w:r>
        <w:t xml:space="preserve"> los profesores del Departamento de Ciencias Contables de la Facultad de Ciencias Económicas y Administrativas de la Pontificia Universidad Javeriana, sede Bogotá, </w:t>
      </w:r>
      <w:r w:rsidR="00F50CF9">
        <w:t>respecto del Plan d</w:t>
      </w:r>
      <w:r w:rsidR="00F50CF9" w:rsidRPr="00F50CF9">
        <w:t>e Trabajo</w:t>
      </w:r>
      <w:r w:rsidR="009502EA">
        <w:t xml:space="preserve"> (en adelante PdT)</w:t>
      </w:r>
      <w:r w:rsidR="00F50CF9">
        <w:t xml:space="preserve"> que tuvieron a bien someter a </w:t>
      </w:r>
      <w:r w:rsidR="00AA0652">
        <w:t>comentarios</w:t>
      </w:r>
      <w:r w:rsidR="00AA0652">
        <w:rPr>
          <w:rStyle w:val="Refdenotaalpie"/>
        </w:rPr>
        <w:footnoteReference w:id="3"/>
      </w:r>
      <w:r w:rsidR="00AA0652">
        <w:t>.</w:t>
      </w:r>
    </w:p>
    <w:p w:rsidR="006115B3" w:rsidRDefault="006115B3" w:rsidP="00545C9C">
      <w:pPr>
        <w:jc w:val="both"/>
      </w:pPr>
      <w:r>
        <w:t>Tabla de contenido</w:t>
      </w:r>
    </w:p>
    <w:bookmarkStart w:id="0" w:name="_GoBack"/>
    <w:bookmarkEnd w:id="0"/>
    <w:p w:rsidR="009D77A4" w:rsidRDefault="00F94635">
      <w:pPr>
        <w:pStyle w:val="TDC1"/>
        <w:tabs>
          <w:tab w:val="right" w:leader="dot" w:pos="8828"/>
        </w:tabs>
        <w:rPr>
          <w:rFonts w:eastAsiaTheme="minorEastAsia"/>
          <w:noProof/>
          <w:lang w:eastAsia="es-CO"/>
        </w:rPr>
      </w:pPr>
      <w:r>
        <w:fldChar w:fldCharType="begin"/>
      </w:r>
      <w:r w:rsidR="00CB59F9">
        <w:instrText xml:space="preserve"> TOC \o "1-3" \h \z \u </w:instrText>
      </w:r>
      <w:r>
        <w:fldChar w:fldCharType="separate"/>
      </w:r>
      <w:hyperlink w:anchor="_Toc267647499" w:history="1">
        <w:r w:rsidR="009D77A4" w:rsidRPr="009A4BE2">
          <w:rPr>
            <w:rStyle w:val="Hipervnculo"/>
            <w:noProof/>
          </w:rPr>
          <w:t>Introducción</w:t>
        </w:r>
        <w:r w:rsidR="009D77A4">
          <w:rPr>
            <w:noProof/>
            <w:webHidden/>
          </w:rPr>
          <w:tab/>
        </w:r>
        <w:r>
          <w:rPr>
            <w:noProof/>
            <w:webHidden/>
          </w:rPr>
          <w:fldChar w:fldCharType="begin"/>
        </w:r>
        <w:r w:rsidR="009D77A4">
          <w:rPr>
            <w:noProof/>
            <w:webHidden/>
          </w:rPr>
          <w:instrText xml:space="preserve"> PAGEREF _Toc267647499 \h </w:instrText>
        </w:r>
        <w:r>
          <w:rPr>
            <w:noProof/>
            <w:webHidden/>
          </w:rPr>
        </w:r>
        <w:r>
          <w:rPr>
            <w:noProof/>
            <w:webHidden/>
          </w:rPr>
          <w:fldChar w:fldCharType="separate"/>
        </w:r>
        <w:r w:rsidR="009D77A4">
          <w:rPr>
            <w:noProof/>
            <w:webHidden/>
          </w:rPr>
          <w:t>2</w:t>
        </w:r>
        <w:r>
          <w:rPr>
            <w:noProof/>
            <w:webHidden/>
          </w:rPr>
          <w:fldChar w:fldCharType="end"/>
        </w:r>
      </w:hyperlink>
    </w:p>
    <w:p w:rsidR="009D77A4" w:rsidRDefault="00F94635">
      <w:pPr>
        <w:pStyle w:val="TDC1"/>
        <w:tabs>
          <w:tab w:val="right" w:leader="dot" w:pos="8828"/>
        </w:tabs>
        <w:rPr>
          <w:rFonts w:eastAsiaTheme="minorEastAsia"/>
          <w:noProof/>
          <w:lang w:eastAsia="es-CO"/>
        </w:rPr>
      </w:pPr>
      <w:hyperlink w:anchor="_Toc267647500" w:history="1">
        <w:r w:rsidR="009D77A4" w:rsidRPr="009A4BE2">
          <w:rPr>
            <w:rStyle w:val="Hipervnculo"/>
            <w:noProof/>
          </w:rPr>
          <w:t>Comentarios generales</w:t>
        </w:r>
        <w:r w:rsidR="009D77A4">
          <w:rPr>
            <w:noProof/>
            <w:webHidden/>
          </w:rPr>
          <w:tab/>
        </w:r>
        <w:r>
          <w:rPr>
            <w:noProof/>
            <w:webHidden/>
          </w:rPr>
          <w:fldChar w:fldCharType="begin"/>
        </w:r>
        <w:r w:rsidR="009D77A4">
          <w:rPr>
            <w:noProof/>
            <w:webHidden/>
          </w:rPr>
          <w:instrText xml:space="preserve"> PAGEREF _Toc267647500 \h </w:instrText>
        </w:r>
        <w:r>
          <w:rPr>
            <w:noProof/>
            <w:webHidden/>
          </w:rPr>
        </w:r>
        <w:r>
          <w:rPr>
            <w:noProof/>
            <w:webHidden/>
          </w:rPr>
          <w:fldChar w:fldCharType="separate"/>
        </w:r>
        <w:r w:rsidR="009D77A4">
          <w:rPr>
            <w:noProof/>
            <w:webHidden/>
          </w:rPr>
          <w:t>3</w:t>
        </w:r>
        <w:r>
          <w:rPr>
            <w:noProof/>
            <w:webHidden/>
          </w:rPr>
          <w:fldChar w:fldCharType="end"/>
        </w:r>
      </w:hyperlink>
    </w:p>
    <w:p w:rsidR="009D77A4" w:rsidRDefault="00F94635">
      <w:pPr>
        <w:pStyle w:val="TDC1"/>
        <w:tabs>
          <w:tab w:val="right" w:leader="dot" w:pos="8828"/>
        </w:tabs>
        <w:rPr>
          <w:rFonts w:eastAsiaTheme="minorEastAsia"/>
          <w:noProof/>
          <w:lang w:eastAsia="es-CO"/>
        </w:rPr>
      </w:pPr>
      <w:hyperlink w:anchor="_Toc267647501" w:history="1">
        <w:r w:rsidR="009D77A4" w:rsidRPr="009A4BE2">
          <w:rPr>
            <w:rStyle w:val="Hipervnculo"/>
            <w:noProof/>
          </w:rPr>
          <w:t>Condiciones previas a la elaboración del plan.</w:t>
        </w:r>
        <w:r w:rsidR="009D77A4">
          <w:rPr>
            <w:noProof/>
            <w:webHidden/>
          </w:rPr>
          <w:tab/>
        </w:r>
        <w:r>
          <w:rPr>
            <w:noProof/>
            <w:webHidden/>
          </w:rPr>
          <w:fldChar w:fldCharType="begin"/>
        </w:r>
        <w:r w:rsidR="009D77A4">
          <w:rPr>
            <w:noProof/>
            <w:webHidden/>
          </w:rPr>
          <w:instrText xml:space="preserve"> PAGEREF _Toc267647501 \h </w:instrText>
        </w:r>
        <w:r>
          <w:rPr>
            <w:noProof/>
            <w:webHidden/>
          </w:rPr>
        </w:r>
        <w:r>
          <w:rPr>
            <w:noProof/>
            <w:webHidden/>
          </w:rPr>
          <w:fldChar w:fldCharType="separate"/>
        </w:r>
        <w:r w:rsidR="009D77A4">
          <w:rPr>
            <w:noProof/>
            <w:webHidden/>
          </w:rPr>
          <w:t>6</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02" w:history="1">
        <w:r w:rsidR="009D77A4" w:rsidRPr="009A4BE2">
          <w:rPr>
            <w:rStyle w:val="Hipervnculo"/>
            <w:noProof/>
          </w:rPr>
          <w:t>Listado de cuestiones previas</w:t>
        </w:r>
        <w:r w:rsidR="009D77A4">
          <w:rPr>
            <w:noProof/>
            <w:webHidden/>
          </w:rPr>
          <w:tab/>
        </w:r>
        <w:r>
          <w:rPr>
            <w:noProof/>
            <w:webHidden/>
          </w:rPr>
          <w:fldChar w:fldCharType="begin"/>
        </w:r>
        <w:r w:rsidR="009D77A4">
          <w:rPr>
            <w:noProof/>
            <w:webHidden/>
          </w:rPr>
          <w:instrText xml:space="preserve"> PAGEREF _Toc267647502 \h </w:instrText>
        </w:r>
        <w:r>
          <w:rPr>
            <w:noProof/>
            <w:webHidden/>
          </w:rPr>
        </w:r>
        <w:r>
          <w:rPr>
            <w:noProof/>
            <w:webHidden/>
          </w:rPr>
          <w:fldChar w:fldCharType="separate"/>
        </w:r>
        <w:r w:rsidR="009D77A4">
          <w:rPr>
            <w:noProof/>
            <w:webHidden/>
          </w:rPr>
          <w:t>6</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03" w:history="1">
        <w:r w:rsidR="009D77A4" w:rsidRPr="009A4BE2">
          <w:rPr>
            <w:rStyle w:val="Hipervnculo"/>
            <w:noProof/>
          </w:rPr>
          <w:t>Debido proceso</w:t>
        </w:r>
        <w:r w:rsidR="009D77A4">
          <w:rPr>
            <w:noProof/>
            <w:webHidden/>
          </w:rPr>
          <w:tab/>
        </w:r>
        <w:r>
          <w:rPr>
            <w:noProof/>
            <w:webHidden/>
          </w:rPr>
          <w:fldChar w:fldCharType="begin"/>
        </w:r>
        <w:r w:rsidR="009D77A4">
          <w:rPr>
            <w:noProof/>
            <w:webHidden/>
          </w:rPr>
          <w:instrText xml:space="preserve"> PAGEREF _Toc267647503 \h </w:instrText>
        </w:r>
        <w:r>
          <w:rPr>
            <w:noProof/>
            <w:webHidden/>
          </w:rPr>
        </w:r>
        <w:r>
          <w:rPr>
            <w:noProof/>
            <w:webHidden/>
          </w:rPr>
          <w:fldChar w:fldCharType="separate"/>
        </w:r>
        <w:r w:rsidR="009D77A4">
          <w:rPr>
            <w:noProof/>
            <w:webHidden/>
          </w:rPr>
          <w:t>8</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04" w:history="1">
        <w:r w:rsidR="009D77A4" w:rsidRPr="009A4BE2">
          <w:rPr>
            <w:rStyle w:val="Hipervnculo"/>
            <w:noProof/>
          </w:rPr>
          <w:t>Estratificación</w:t>
        </w:r>
        <w:r w:rsidR="009D77A4">
          <w:rPr>
            <w:noProof/>
            <w:webHidden/>
          </w:rPr>
          <w:tab/>
        </w:r>
        <w:r>
          <w:rPr>
            <w:noProof/>
            <w:webHidden/>
          </w:rPr>
          <w:fldChar w:fldCharType="begin"/>
        </w:r>
        <w:r w:rsidR="009D77A4">
          <w:rPr>
            <w:noProof/>
            <w:webHidden/>
          </w:rPr>
          <w:instrText xml:space="preserve"> PAGEREF _Toc267647504 \h </w:instrText>
        </w:r>
        <w:r>
          <w:rPr>
            <w:noProof/>
            <w:webHidden/>
          </w:rPr>
        </w:r>
        <w:r>
          <w:rPr>
            <w:noProof/>
            <w:webHidden/>
          </w:rPr>
          <w:fldChar w:fldCharType="separate"/>
        </w:r>
        <w:r w:rsidR="009D77A4">
          <w:rPr>
            <w:noProof/>
            <w:webHidden/>
          </w:rPr>
          <w:t>11</w:t>
        </w:r>
        <w:r>
          <w:rPr>
            <w:noProof/>
            <w:webHidden/>
          </w:rPr>
          <w:fldChar w:fldCharType="end"/>
        </w:r>
      </w:hyperlink>
    </w:p>
    <w:p w:rsidR="009D77A4" w:rsidRDefault="00F94635">
      <w:pPr>
        <w:pStyle w:val="TDC1"/>
        <w:tabs>
          <w:tab w:val="right" w:leader="dot" w:pos="8828"/>
        </w:tabs>
        <w:rPr>
          <w:rFonts w:eastAsiaTheme="minorEastAsia"/>
          <w:noProof/>
          <w:lang w:eastAsia="es-CO"/>
        </w:rPr>
      </w:pPr>
      <w:hyperlink w:anchor="_Toc267647505" w:history="1">
        <w:r w:rsidR="009D77A4" w:rsidRPr="009A4BE2">
          <w:rPr>
            <w:rStyle w:val="Hipervnculo"/>
            <w:noProof/>
          </w:rPr>
          <w:t>Algunas sugerencias sobre los componentes de un plan de convergencia</w:t>
        </w:r>
        <w:r w:rsidR="009D77A4">
          <w:rPr>
            <w:noProof/>
            <w:webHidden/>
          </w:rPr>
          <w:tab/>
        </w:r>
        <w:r>
          <w:rPr>
            <w:noProof/>
            <w:webHidden/>
          </w:rPr>
          <w:fldChar w:fldCharType="begin"/>
        </w:r>
        <w:r w:rsidR="009D77A4">
          <w:rPr>
            <w:noProof/>
            <w:webHidden/>
          </w:rPr>
          <w:instrText xml:space="preserve"> PAGEREF _Toc267647505 \h </w:instrText>
        </w:r>
        <w:r>
          <w:rPr>
            <w:noProof/>
            <w:webHidden/>
          </w:rPr>
        </w:r>
        <w:r>
          <w:rPr>
            <w:noProof/>
            <w:webHidden/>
          </w:rPr>
          <w:fldChar w:fldCharType="separate"/>
        </w:r>
        <w:r w:rsidR="009D77A4">
          <w:rPr>
            <w:noProof/>
            <w:webHidden/>
          </w:rPr>
          <w:t>14</w:t>
        </w:r>
        <w:r>
          <w:rPr>
            <w:noProof/>
            <w:webHidden/>
          </w:rPr>
          <w:fldChar w:fldCharType="end"/>
        </w:r>
      </w:hyperlink>
    </w:p>
    <w:p w:rsidR="009D77A4" w:rsidRDefault="00F94635">
      <w:pPr>
        <w:pStyle w:val="TDC2"/>
        <w:tabs>
          <w:tab w:val="right" w:leader="dot" w:pos="8828"/>
        </w:tabs>
        <w:rPr>
          <w:rFonts w:eastAsiaTheme="minorEastAsia"/>
          <w:noProof/>
          <w:lang w:eastAsia="es-CO"/>
        </w:rPr>
      </w:pPr>
      <w:hyperlink w:anchor="_Toc267647506" w:history="1">
        <w:r w:rsidR="009D77A4" w:rsidRPr="009A4BE2">
          <w:rPr>
            <w:rStyle w:val="Hipervnculo"/>
            <w:noProof/>
          </w:rPr>
          <w:t>Recomendaciones generales</w:t>
        </w:r>
        <w:r w:rsidR="009D77A4">
          <w:rPr>
            <w:noProof/>
            <w:webHidden/>
          </w:rPr>
          <w:tab/>
        </w:r>
        <w:r>
          <w:rPr>
            <w:noProof/>
            <w:webHidden/>
          </w:rPr>
          <w:fldChar w:fldCharType="begin"/>
        </w:r>
        <w:r w:rsidR="009D77A4">
          <w:rPr>
            <w:noProof/>
            <w:webHidden/>
          </w:rPr>
          <w:instrText xml:space="preserve"> PAGEREF _Toc267647506 \h </w:instrText>
        </w:r>
        <w:r>
          <w:rPr>
            <w:noProof/>
            <w:webHidden/>
          </w:rPr>
        </w:r>
        <w:r>
          <w:rPr>
            <w:noProof/>
            <w:webHidden/>
          </w:rPr>
          <w:fldChar w:fldCharType="separate"/>
        </w:r>
        <w:r w:rsidR="009D77A4">
          <w:rPr>
            <w:noProof/>
            <w:webHidden/>
          </w:rPr>
          <w:t>14</w:t>
        </w:r>
        <w:r>
          <w:rPr>
            <w:noProof/>
            <w:webHidden/>
          </w:rPr>
          <w:fldChar w:fldCharType="end"/>
        </w:r>
      </w:hyperlink>
    </w:p>
    <w:p w:rsidR="009D77A4" w:rsidRDefault="00F94635">
      <w:pPr>
        <w:pStyle w:val="TDC2"/>
        <w:tabs>
          <w:tab w:val="right" w:leader="dot" w:pos="8828"/>
        </w:tabs>
        <w:rPr>
          <w:rFonts w:eastAsiaTheme="minorEastAsia"/>
          <w:noProof/>
          <w:lang w:eastAsia="es-CO"/>
        </w:rPr>
      </w:pPr>
      <w:hyperlink w:anchor="_Toc267647507" w:history="1">
        <w:r w:rsidR="009D77A4" w:rsidRPr="009A4BE2">
          <w:rPr>
            <w:rStyle w:val="Hipervnculo"/>
            <w:noProof/>
            <w:lang w:eastAsia="es-ES"/>
          </w:rPr>
          <w:t>Esquema del plan</w:t>
        </w:r>
        <w:r w:rsidR="009D77A4">
          <w:rPr>
            <w:noProof/>
            <w:webHidden/>
          </w:rPr>
          <w:tab/>
        </w:r>
        <w:r>
          <w:rPr>
            <w:noProof/>
            <w:webHidden/>
          </w:rPr>
          <w:fldChar w:fldCharType="begin"/>
        </w:r>
        <w:r w:rsidR="009D77A4">
          <w:rPr>
            <w:noProof/>
            <w:webHidden/>
          </w:rPr>
          <w:instrText xml:space="preserve"> PAGEREF _Toc267647507 \h </w:instrText>
        </w:r>
        <w:r>
          <w:rPr>
            <w:noProof/>
            <w:webHidden/>
          </w:rPr>
        </w:r>
        <w:r>
          <w:rPr>
            <w:noProof/>
            <w:webHidden/>
          </w:rPr>
          <w:fldChar w:fldCharType="separate"/>
        </w:r>
        <w:r w:rsidR="009D77A4">
          <w:rPr>
            <w:noProof/>
            <w:webHidden/>
          </w:rPr>
          <w:t>15</w:t>
        </w:r>
        <w:r>
          <w:rPr>
            <w:noProof/>
            <w:webHidden/>
          </w:rPr>
          <w:fldChar w:fldCharType="end"/>
        </w:r>
      </w:hyperlink>
    </w:p>
    <w:p w:rsidR="009D77A4" w:rsidRDefault="00F94635">
      <w:pPr>
        <w:pStyle w:val="TDC2"/>
        <w:tabs>
          <w:tab w:val="right" w:leader="dot" w:pos="8828"/>
        </w:tabs>
        <w:rPr>
          <w:rFonts w:eastAsiaTheme="minorEastAsia"/>
          <w:noProof/>
          <w:lang w:eastAsia="es-CO"/>
        </w:rPr>
      </w:pPr>
      <w:hyperlink w:anchor="_Toc267647508" w:history="1">
        <w:r w:rsidR="009D77A4" w:rsidRPr="009A4BE2">
          <w:rPr>
            <w:rStyle w:val="Hipervnculo"/>
            <w:noProof/>
          </w:rPr>
          <w:t>Descripción de cada etapa</w:t>
        </w:r>
        <w:r w:rsidR="009D77A4">
          <w:rPr>
            <w:noProof/>
            <w:webHidden/>
          </w:rPr>
          <w:tab/>
        </w:r>
        <w:r>
          <w:rPr>
            <w:noProof/>
            <w:webHidden/>
          </w:rPr>
          <w:fldChar w:fldCharType="begin"/>
        </w:r>
        <w:r w:rsidR="009D77A4">
          <w:rPr>
            <w:noProof/>
            <w:webHidden/>
          </w:rPr>
          <w:instrText xml:space="preserve"> PAGEREF _Toc267647508 \h </w:instrText>
        </w:r>
        <w:r>
          <w:rPr>
            <w:noProof/>
            <w:webHidden/>
          </w:rPr>
        </w:r>
        <w:r>
          <w:rPr>
            <w:noProof/>
            <w:webHidden/>
          </w:rPr>
          <w:fldChar w:fldCharType="separate"/>
        </w:r>
        <w:r w:rsidR="009D77A4">
          <w:rPr>
            <w:noProof/>
            <w:webHidden/>
          </w:rPr>
          <w:t>16</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09" w:history="1">
        <w:r w:rsidR="009D77A4" w:rsidRPr="009A4BE2">
          <w:rPr>
            <w:rStyle w:val="Hipervnculo"/>
            <w:noProof/>
            <w:lang w:val="es-ES" w:eastAsia="es-ES"/>
          </w:rPr>
          <w:t>FASE I Construcción de la regulación</w:t>
        </w:r>
        <w:r w:rsidR="009D77A4">
          <w:rPr>
            <w:noProof/>
            <w:webHidden/>
          </w:rPr>
          <w:tab/>
        </w:r>
        <w:r>
          <w:rPr>
            <w:noProof/>
            <w:webHidden/>
          </w:rPr>
          <w:fldChar w:fldCharType="begin"/>
        </w:r>
        <w:r w:rsidR="009D77A4">
          <w:rPr>
            <w:noProof/>
            <w:webHidden/>
          </w:rPr>
          <w:instrText xml:space="preserve"> PAGEREF _Toc267647509 \h </w:instrText>
        </w:r>
        <w:r>
          <w:rPr>
            <w:noProof/>
            <w:webHidden/>
          </w:rPr>
        </w:r>
        <w:r>
          <w:rPr>
            <w:noProof/>
            <w:webHidden/>
          </w:rPr>
          <w:fldChar w:fldCharType="separate"/>
        </w:r>
        <w:r w:rsidR="009D77A4">
          <w:rPr>
            <w:noProof/>
            <w:webHidden/>
          </w:rPr>
          <w:t>16</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10" w:history="1">
        <w:r w:rsidR="009D77A4" w:rsidRPr="009A4BE2">
          <w:rPr>
            <w:rStyle w:val="Hipervnculo"/>
            <w:noProof/>
            <w:lang w:eastAsia="es-ES"/>
          </w:rPr>
          <w:t>FASE II - Implementación</w:t>
        </w:r>
        <w:r w:rsidR="009D77A4">
          <w:rPr>
            <w:noProof/>
            <w:webHidden/>
          </w:rPr>
          <w:tab/>
        </w:r>
        <w:r>
          <w:rPr>
            <w:noProof/>
            <w:webHidden/>
          </w:rPr>
          <w:fldChar w:fldCharType="begin"/>
        </w:r>
        <w:r w:rsidR="009D77A4">
          <w:rPr>
            <w:noProof/>
            <w:webHidden/>
          </w:rPr>
          <w:instrText xml:space="preserve"> PAGEREF _Toc267647510 \h </w:instrText>
        </w:r>
        <w:r>
          <w:rPr>
            <w:noProof/>
            <w:webHidden/>
          </w:rPr>
        </w:r>
        <w:r>
          <w:rPr>
            <w:noProof/>
            <w:webHidden/>
          </w:rPr>
          <w:fldChar w:fldCharType="separate"/>
        </w:r>
        <w:r w:rsidR="009D77A4">
          <w:rPr>
            <w:noProof/>
            <w:webHidden/>
          </w:rPr>
          <w:t>17</w:t>
        </w:r>
        <w:r>
          <w:rPr>
            <w:noProof/>
            <w:webHidden/>
          </w:rPr>
          <w:fldChar w:fldCharType="end"/>
        </w:r>
      </w:hyperlink>
    </w:p>
    <w:p w:rsidR="009D77A4" w:rsidRDefault="00F94635">
      <w:pPr>
        <w:pStyle w:val="TDC3"/>
        <w:tabs>
          <w:tab w:val="right" w:leader="dot" w:pos="8828"/>
        </w:tabs>
        <w:rPr>
          <w:rFonts w:eastAsiaTheme="minorEastAsia"/>
          <w:noProof/>
          <w:lang w:eastAsia="es-CO"/>
        </w:rPr>
      </w:pPr>
      <w:hyperlink w:anchor="_Toc267647511" w:history="1">
        <w:r w:rsidR="009D77A4" w:rsidRPr="009A4BE2">
          <w:rPr>
            <w:rStyle w:val="Hipervnculo"/>
            <w:noProof/>
            <w:lang w:eastAsia="es-ES"/>
          </w:rPr>
          <w:t>FASE III –Plan de seguimiento</w:t>
        </w:r>
        <w:r w:rsidR="009D77A4">
          <w:rPr>
            <w:noProof/>
            <w:webHidden/>
          </w:rPr>
          <w:tab/>
        </w:r>
        <w:r>
          <w:rPr>
            <w:noProof/>
            <w:webHidden/>
          </w:rPr>
          <w:fldChar w:fldCharType="begin"/>
        </w:r>
        <w:r w:rsidR="009D77A4">
          <w:rPr>
            <w:noProof/>
            <w:webHidden/>
          </w:rPr>
          <w:instrText xml:space="preserve"> PAGEREF _Toc267647511 \h </w:instrText>
        </w:r>
        <w:r>
          <w:rPr>
            <w:noProof/>
            <w:webHidden/>
          </w:rPr>
        </w:r>
        <w:r>
          <w:rPr>
            <w:noProof/>
            <w:webHidden/>
          </w:rPr>
          <w:fldChar w:fldCharType="separate"/>
        </w:r>
        <w:r w:rsidR="009D77A4">
          <w:rPr>
            <w:noProof/>
            <w:webHidden/>
          </w:rPr>
          <w:t>19</w:t>
        </w:r>
        <w:r>
          <w:rPr>
            <w:noProof/>
            <w:webHidden/>
          </w:rPr>
          <w:fldChar w:fldCharType="end"/>
        </w:r>
      </w:hyperlink>
    </w:p>
    <w:p w:rsidR="009D77A4" w:rsidRDefault="00F94635">
      <w:pPr>
        <w:pStyle w:val="TDC1"/>
        <w:tabs>
          <w:tab w:val="right" w:leader="dot" w:pos="8828"/>
        </w:tabs>
        <w:rPr>
          <w:rFonts w:eastAsiaTheme="minorEastAsia"/>
          <w:noProof/>
          <w:lang w:eastAsia="es-CO"/>
        </w:rPr>
      </w:pPr>
      <w:hyperlink w:anchor="_Toc267647512" w:history="1">
        <w:r w:rsidR="009D77A4" w:rsidRPr="009A4BE2">
          <w:rPr>
            <w:rStyle w:val="Hipervnculo"/>
            <w:noProof/>
          </w:rPr>
          <w:t>Anexo 1 –Lista de profesores que hicieron aportes al presente documento</w:t>
        </w:r>
        <w:r w:rsidR="009D77A4">
          <w:rPr>
            <w:noProof/>
            <w:webHidden/>
          </w:rPr>
          <w:tab/>
        </w:r>
        <w:r>
          <w:rPr>
            <w:noProof/>
            <w:webHidden/>
          </w:rPr>
          <w:fldChar w:fldCharType="begin"/>
        </w:r>
        <w:r w:rsidR="009D77A4">
          <w:rPr>
            <w:noProof/>
            <w:webHidden/>
          </w:rPr>
          <w:instrText xml:space="preserve"> PAGEREF _Toc267647512 \h </w:instrText>
        </w:r>
        <w:r>
          <w:rPr>
            <w:noProof/>
            <w:webHidden/>
          </w:rPr>
        </w:r>
        <w:r>
          <w:rPr>
            <w:noProof/>
            <w:webHidden/>
          </w:rPr>
          <w:fldChar w:fldCharType="separate"/>
        </w:r>
        <w:r w:rsidR="009D77A4">
          <w:rPr>
            <w:noProof/>
            <w:webHidden/>
          </w:rPr>
          <w:t>20</w:t>
        </w:r>
        <w:r>
          <w:rPr>
            <w:noProof/>
            <w:webHidden/>
          </w:rPr>
          <w:fldChar w:fldCharType="end"/>
        </w:r>
      </w:hyperlink>
    </w:p>
    <w:p w:rsidR="009D77A4" w:rsidRDefault="00F94635">
      <w:pPr>
        <w:pStyle w:val="TDC1"/>
        <w:tabs>
          <w:tab w:val="right" w:leader="dot" w:pos="8828"/>
        </w:tabs>
        <w:rPr>
          <w:rFonts w:eastAsiaTheme="minorEastAsia"/>
          <w:noProof/>
          <w:lang w:eastAsia="es-CO"/>
        </w:rPr>
      </w:pPr>
      <w:hyperlink w:anchor="_Toc267647513" w:history="1">
        <w:r w:rsidR="009D77A4" w:rsidRPr="009A4BE2">
          <w:rPr>
            <w:rStyle w:val="Hipervnculo"/>
            <w:noProof/>
          </w:rPr>
          <w:t>Anexo 2 – Lista de documentos de consulta sugerida</w:t>
        </w:r>
        <w:r w:rsidR="009D77A4">
          <w:rPr>
            <w:noProof/>
            <w:webHidden/>
          </w:rPr>
          <w:tab/>
        </w:r>
        <w:r>
          <w:rPr>
            <w:noProof/>
            <w:webHidden/>
          </w:rPr>
          <w:fldChar w:fldCharType="begin"/>
        </w:r>
        <w:r w:rsidR="009D77A4">
          <w:rPr>
            <w:noProof/>
            <w:webHidden/>
          </w:rPr>
          <w:instrText xml:space="preserve"> PAGEREF _Toc267647513 \h </w:instrText>
        </w:r>
        <w:r>
          <w:rPr>
            <w:noProof/>
            <w:webHidden/>
          </w:rPr>
        </w:r>
        <w:r>
          <w:rPr>
            <w:noProof/>
            <w:webHidden/>
          </w:rPr>
          <w:fldChar w:fldCharType="separate"/>
        </w:r>
        <w:r w:rsidR="009D77A4">
          <w:rPr>
            <w:noProof/>
            <w:webHidden/>
          </w:rPr>
          <w:t>21</w:t>
        </w:r>
        <w:r>
          <w:rPr>
            <w:noProof/>
            <w:webHidden/>
          </w:rPr>
          <w:fldChar w:fldCharType="end"/>
        </w:r>
      </w:hyperlink>
    </w:p>
    <w:p w:rsidR="00CB59F9" w:rsidRDefault="00F94635" w:rsidP="00545C9C">
      <w:pPr>
        <w:jc w:val="both"/>
      </w:pPr>
      <w:r>
        <w:fldChar w:fldCharType="end"/>
      </w:r>
    </w:p>
    <w:p w:rsidR="00757E20" w:rsidRPr="00757E20" w:rsidRDefault="00757E20" w:rsidP="00545C9C">
      <w:pPr>
        <w:pStyle w:val="Ttulo1"/>
        <w:jc w:val="both"/>
      </w:pPr>
      <w:bookmarkStart w:id="1" w:name="_Toc267647499"/>
      <w:r w:rsidRPr="00757E20">
        <w:t>Introducción</w:t>
      </w:r>
      <w:bookmarkEnd w:id="1"/>
    </w:p>
    <w:p w:rsidR="00F016BA" w:rsidRDefault="00F016BA" w:rsidP="00545C9C">
      <w:pPr>
        <w:jc w:val="both"/>
      </w:pPr>
    </w:p>
    <w:p w:rsidR="00664E63" w:rsidRDefault="00664E63" w:rsidP="00545C9C">
      <w:pPr>
        <w:jc w:val="both"/>
      </w:pPr>
      <w:r w:rsidRPr="00BF4E01">
        <w:t xml:space="preserve">En primer lugar </w:t>
      </w:r>
      <w:r w:rsidR="006F0E9A">
        <w:t xml:space="preserve">los profesores </w:t>
      </w:r>
      <w:r w:rsidR="00817CAA">
        <w:t>celebraron</w:t>
      </w:r>
      <w:r w:rsidR="006F0E9A">
        <w:t xml:space="preserve"> la </w:t>
      </w:r>
      <w:r>
        <w:t xml:space="preserve">publicación </w:t>
      </w:r>
      <w:r w:rsidR="00AD3483">
        <w:t xml:space="preserve">y consulta </w:t>
      </w:r>
      <w:r>
        <w:t>d</w:t>
      </w:r>
      <w:r w:rsidRPr="00BF4E01">
        <w:t>e</w:t>
      </w:r>
      <w:r w:rsidR="00345729">
        <w:t xml:space="preserve"> este</w:t>
      </w:r>
      <w:r w:rsidRPr="00BF4E01">
        <w:t xml:space="preserve"> primer</w:t>
      </w:r>
      <w:r>
        <w:t xml:space="preserve"> documento oficial del </w:t>
      </w:r>
      <w:r w:rsidRPr="006F0E9A">
        <w:rPr>
          <w:smallCaps/>
        </w:rPr>
        <w:t>Consejo</w:t>
      </w:r>
      <w:r w:rsidR="006F0E9A" w:rsidRPr="006F0E9A">
        <w:rPr>
          <w:smallCaps/>
        </w:rPr>
        <w:t xml:space="preserve"> Técnico de la Contaduría Pública</w:t>
      </w:r>
      <w:r w:rsidR="006F0E9A">
        <w:t xml:space="preserve"> (en adelante </w:t>
      </w:r>
      <w:r w:rsidR="006F0E9A" w:rsidRPr="006F0E9A">
        <w:rPr>
          <w:smallCaps/>
        </w:rPr>
        <w:t>ctcp</w:t>
      </w:r>
      <w:r w:rsidR="006F0E9A">
        <w:t>)</w:t>
      </w:r>
      <w:r w:rsidR="00345729">
        <w:t>, preparado</w:t>
      </w:r>
      <w:r>
        <w:t xml:space="preserve"> en desarrollo de la labor que le fue encomendada por la Ley 1314 de 2009</w:t>
      </w:r>
      <w:r w:rsidR="00F44B5C">
        <w:rPr>
          <w:rStyle w:val="Refdenotaalpie"/>
        </w:rPr>
        <w:footnoteReference w:id="4"/>
      </w:r>
      <w:r w:rsidR="00F44B5C">
        <w:t xml:space="preserve">, con el cual se </w:t>
      </w:r>
      <w:r w:rsidR="00345729">
        <w:t>puso</w:t>
      </w:r>
      <w:r w:rsidR="00F44B5C">
        <w:t xml:space="preserve"> en marcha el </w:t>
      </w:r>
      <w:r w:rsidR="00817CAA">
        <w:t xml:space="preserve">esperado </w:t>
      </w:r>
      <w:r w:rsidR="00F44B5C">
        <w:t>proceso de modernización de la normatividad contable colombiana</w:t>
      </w:r>
      <w:r w:rsidR="00345729">
        <w:t xml:space="preserve">. </w:t>
      </w:r>
    </w:p>
    <w:p w:rsidR="00370C17" w:rsidRDefault="00345729" w:rsidP="00545C9C">
      <w:pPr>
        <w:jc w:val="both"/>
      </w:pPr>
      <w:r>
        <w:t>La elaboración de este documento es el resultado del siguiente procedimiento</w:t>
      </w:r>
      <w:r w:rsidR="00370C17">
        <w:t>:</w:t>
      </w:r>
    </w:p>
    <w:p w:rsidR="00345729" w:rsidRDefault="00345729" w:rsidP="00545C9C">
      <w:pPr>
        <w:pStyle w:val="Prrafodelista"/>
        <w:numPr>
          <w:ilvl w:val="0"/>
          <w:numId w:val="15"/>
        </w:numPr>
        <w:jc w:val="both"/>
      </w:pPr>
      <w:r>
        <w:t xml:space="preserve">Una vez se publicó el </w:t>
      </w:r>
      <w:r w:rsidR="00F71093">
        <w:t>PdT</w:t>
      </w:r>
      <w:r>
        <w:t>, se produjo una primera reacción sobre él</w:t>
      </w:r>
      <w:r>
        <w:rPr>
          <w:rStyle w:val="Refdenotaalpie"/>
        </w:rPr>
        <w:footnoteReference w:id="5"/>
      </w:r>
      <w:r>
        <w:t xml:space="preserve">, a la cual se acompañó </w:t>
      </w:r>
      <w:r w:rsidR="00657349">
        <w:t>una lista de documentos, a título de muestra de literatura pertinente para evaluar el mencionado plan</w:t>
      </w:r>
      <w:r w:rsidR="00657349">
        <w:rPr>
          <w:rStyle w:val="Refdenotaalpie"/>
        </w:rPr>
        <w:footnoteReference w:id="6"/>
      </w:r>
      <w:r w:rsidR="00657349">
        <w:t>.</w:t>
      </w:r>
    </w:p>
    <w:p w:rsidR="00370C17" w:rsidRDefault="009502EA" w:rsidP="00545C9C">
      <w:pPr>
        <w:pStyle w:val="Prrafodelista"/>
        <w:numPr>
          <w:ilvl w:val="0"/>
          <w:numId w:val="15"/>
        </w:numPr>
        <w:jc w:val="both"/>
      </w:pPr>
      <w:r>
        <w:t>A renglón seguido,</w:t>
      </w:r>
      <w:r w:rsidR="00370C17">
        <w:t xml:space="preserve"> el Departamento convocó a </w:t>
      </w:r>
      <w:r>
        <w:t>sus</w:t>
      </w:r>
      <w:r w:rsidR="00370C17">
        <w:t xml:space="preserve"> profesores a una reunión para </w:t>
      </w:r>
      <w:r w:rsidR="00F71093">
        <w:t>analizar colectivamente el PdT</w:t>
      </w:r>
      <w:r w:rsidR="00370C17">
        <w:t>.</w:t>
      </w:r>
    </w:p>
    <w:p w:rsidR="00370C17" w:rsidRDefault="009161F4" w:rsidP="00545C9C">
      <w:pPr>
        <w:pStyle w:val="Prrafodelista"/>
        <w:numPr>
          <w:ilvl w:val="0"/>
          <w:numId w:val="15"/>
        </w:numPr>
        <w:jc w:val="both"/>
      </w:pPr>
      <w:r>
        <w:lastRenderedPageBreak/>
        <w:t xml:space="preserve">En desarrollo de dicha reunión, una vez que se realizaron </w:t>
      </w:r>
      <w:r w:rsidR="00F71093">
        <w:t>dos rondas de comentarios</w:t>
      </w:r>
      <w:r>
        <w:t xml:space="preserve">, se acordó que los profesores que así lo quisieran </w:t>
      </w:r>
      <w:r w:rsidR="00EA2D05">
        <w:t>recogieran sus pareceres en</w:t>
      </w:r>
      <w:r>
        <w:t xml:space="preserve"> un resumen escrito.</w:t>
      </w:r>
    </w:p>
    <w:p w:rsidR="009161F4" w:rsidRDefault="009161F4" w:rsidP="00545C9C">
      <w:pPr>
        <w:pStyle w:val="Prrafodelista"/>
        <w:numPr>
          <w:ilvl w:val="0"/>
          <w:numId w:val="15"/>
        </w:numPr>
        <w:jc w:val="both"/>
      </w:pPr>
      <w:r>
        <w:t xml:space="preserve">Recibidos los pareceres escritos de los profesores, se procedió a integrarlos en un solo documento, que se envió a los docentes, convocándolos para una </w:t>
      </w:r>
      <w:r w:rsidR="00176C04">
        <w:t>segunda</w:t>
      </w:r>
      <w:r>
        <w:t xml:space="preserve"> sesión de trabajo.</w:t>
      </w:r>
    </w:p>
    <w:p w:rsidR="00EA2D05" w:rsidRDefault="00EA2D05" w:rsidP="00545C9C">
      <w:pPr>
        <w:pStyle w:val="Prrafodelista"/>
        <w:numPr>
          <w:ilvl w:val="0"/>
          <w:numId w:val="15"/>
        </w:numPr>
        <w:jc w:val="both"/>
      </w:pPr>
      <w:r>
        <w:t xml:space="preserve">En su segunda reunión los profesores </w:t>
      </w:r>
      <w:r w:rsidR="00176C04">
        <w:t xml:space="preserve">resolvieron sobre la orientación definitiva de su respuesta al </w:t>
      </w:r>
      <w:r w:rsidR="00176C04" w:rsidRPr="00176C04">
        <w:rPr>
          <w:smallCaps/>
        </w:rPr>
        <w:t>ctcp</w:t>
      </w:r>
      <w:r w:rsidR="00176C04">
        <w:t>.</w:t>
      </w:r>
    </w:p>
    <w:p w:rsidR="00176C04" w:rsidRDefault="00176C04" w:rsidP="00545C9C">
      <w:pPr>
        <w:pStyle w:val="Prrafodelista"/>
        <w:numPr>
          <w:ilvl w:val="0"/>
          <w:numId w:val="15"/>
        </w:numPr>
        <w:jc w:val="both"/>
      </w:pPr>
      <w:r>
        <w:t>Con base en las instrucciones de los profesores, se preparó una segunda versión del documento, la cual, luego de una revisión preliminar, fue remitida a los profesores para sus observaciones finales.</w:t>
      </w:r>
    </w:p>
    <w:p w:rsidR="008D47CE" w:rsidRDefault="00176C04" w:rsidP="00545C9C">
      <w:pPr>
        <w:pStyle w:val="Prrafodelista"/>
        <w:numPr>
          <w:ilvl w:val="0"/>
          <w:numId w:val="15"/>
        </w:numPr>
        <w:jc w:val="both"/>
      </w:pPr>
      <w:r>
        <w:t>Finalmente se preparó la presente versi</w:t>
      </w:r>
      <w:r w:rsidR="008D47CE">
        <w:t>ón del documento.</w:t>
      </w:r>
    </w:p>
    <w:p w:rsidR="008D47CE" w:rsidRDefault="008D47CE" w:rsidP="00545C9C">
      <w:pPr>
        <w:jc w:val="both"/>
      </w:pPr>
      <w:r>
        <w:t xml:space="preserve">Este documento no se traspasó </w:t>
      </w:r>
      <w:r w:rsidR="005263FA">
        <w:t>al</w:t>
      </w:r>
      <w:r>
        <w:t xml:space="preserve"> formato</w:t>
      </w:r>
      <w:r w:rsidR="00482576">
        <w:t xml:space="preserve"> </w:t>
      </w:r>
      <w:r>
        <w:t>previsto para el efecto</w:t>
      </w:r>
      <w:r w:rsidR="005263FA">
        <w:rPr>
          <w:rStyle w:val="Refdenotaalpie"/>
        </w:rPr>
        <w:footnoteReference w:id="7"/>
      </w:r>
      <w:r>
        <w:t xml:space="preserve">, pues se consideró que éste </w:t>
      </w:r>
      <w:r w:rsidR="005263FA">
        <w:t xml:space="preserve">no </w:t>
      </w:r>
      <w:r w:rsidR="00B56B01">
        <w:t>es</w:t>
      </w:r>
      <w:r>
        <w:t xml:space="preserve"> la mejor forma de transmitir las opiniones de los profesores.</w:t>
      </w:r>
    </w:p>
    <w:p w:rsidR="00EC5477" w:rsidRDefault="005A1CDD" w:rsidP="00545C9C">
      <w:pPr>
        <w:pStyle w:val="Ttulo1"/>
        <w:jc w:val="both"/>
      </w:pPr>
      <w:bookmarkStart w:id="2" w:name="_Toc267647500"/>
      <w:r>
        <w:t>Comentarios generales</w:t>
      </w:r>
      <w:bookmarkEnd w:id="2"/>
    </w:p>
    <w:p w:rsidR="006465EA" w:rsidRDefault="006465EA" w:rsidP="00545C9C">
      <w:pPr>
        <w:jc w:val="both"/>
      </w:pPr>
    </w:p>
    <w:p w:rsidR="006465EA" w:rsidRPr="00F75317" w:rsidRDefault="00F75317" w:rsidP="00545C9C">
      <w:pPr>
        <w:jc w:val="both"/>
      </w:pPr>
      <w:r>
        <w:t xml:space="preserve">El PdT promulgado por el </w:t>
      </w:r>
      <w:r w:rsidRPr="00F75317">
        <w:rPr>
          <w:smallCaps/>
        </w:rPr>
        <w:t>ctcp</w:t>
      </w:r>
      <w:r w:rsidR="005F7F35">
        <w:rPr>
          <w:smallCaps/>
        </w:rPr>
        <w:t xml:space="preserve"> </w:t>
      </w:r>
      <w:r>
        <w:t>puede ser analizado desde diferentes perspectivas.</w:t>
      </w:r>
    </w:p>
    <w:p w:rsidR="00F75317" w:rsidRDefault="00F75317" w:rsidP="00545C9C">
      <w:pPr>
        <w:jc w:val="both"/>
        <w:rPr>
          <w:rFonts w:cs="Arial"/>
        </w:rPr>
      </w:pPr>
      <w:r>
        <w:rPr>
          <w:rFonts w:cs="Arial"/>
        </w:rPr>
        <w:t xml:space="preserve">Una de tales perspectivas consiste en revisarlo a la luz del </w:t>
      </w:r>
      <w:r w:rsidR="00F82972" w:rsidRPr="00BC2A18">
        <w:rPr>
          <w:rFonts w:cs="Arial"/>
        </w:rPr>
        <w:t>artículo 13 de la Ley</w:t>
      </w:r>
      <w:r w:rsidR="001C16E1" w:rsidRPr="00BC2A18">
        <w:rPr>
          <w:rFonts w:cs="Arial"/>
        </w:rPr>
        <w:t xml:space="preserve"> 1314 de 2009,</w:t>
      </w:r>
      <w:r>
        <w:rPr>
          <w:rFonts w:cs="Arial"/>
        </w:rPr>
        <w:t>en el cual se lee:</w:t>
      </w:r>
    </w:p>
    <w:p w:rsidR="00F75317" w:rsidRPr="00496980" w:rsidRDefault="00F75317" w:rsidP="00545C9C">
      <w:pPr>
        <w:ind w:left="708"/>
        <w:jc w:val="both"/>
        <w:rPr>
          <w:rFonts w:cs="Arial"/>
          <w:i/>
        </w:rPr>
      </w:pPr>
      <w:r w:rsidRPr="00496980">
        <w:rPr>
          <w:rFonts w:cs="Arial"/>
          <w:i/>
        </w:rPr>
        <w:t>ARTÍCULO 13. PRIMERA REVISIÓN. A partir del 1o de enero del año 2010 y dentro de los seis (6) meses siguientes a esta fecha, el Consejo Técnico de la Contaduría Pública hará una primera revisión de las normas de contabilidad, de información financiera y de aseguramiento de información, al cabo de los cuales presentará, para su divulgación, un primer plan de trabajo al Ministerio de Comercio, Industria y Turismo. Dicho plan deberá ejecutarse dentro de los veinticuatro (24) meses siguientes a la entrega de dicho plan de trabajo, término durante el cual el Consejo presentará a consideración de los Ministerios de Hacienda y Crédito Público y de Comercio, Industria y Turismo los proyectos a que haya lugar.</w:t>
      </w:r>
    </w:p>
    <w:p w:rsidR="00F75317" w:rsidRPr="00496980" w:rsidRDefault="00F75317" w:rsidP="00545C9C">
      <w:pPr>
        <w:ind w:left="708"/>
        <w:jc w:val="both"/>
        <w:rPr>
          <w:rFonts w:cs="Arial"/>
          <w:i/>
        </w:rPr>
      </w:pPr>
      <w:r w:rsidRPr="00496980">
        <w:rPr>
          <w:rFonts w:cs="Arial"/>
          <w:i/>
        </w:rPr>
        <w:lastRenderedPageBreak/>
        <w:t>PARÁGRAFO. Las normas legales sobre contabilidad, información financiera o aseguramiento de la información expedidas con anterioridad conservarán su vigor hasta que entre en vigencia una nueva disposición expedida en desarrollo de esta Ley que las modifique, reemplace o elimine.</w:t>
      </w:r>
    </w:p>
    <w:p w:rsidR="00B61DA3" w:rsidRDefault="00496980" w:rsidP="00545C9C">
      <w:pPr>
        <w:jc w:val="both"/>
        <w:rPr>
          <w:rFonts w:cs="Arial"/>
        </w:rPr>
      </w:pPr>
      <w:r>
        <w:rPr>
          <w:rFonts w:cs="Arial"/>
        </w:rPr>
        <w:t xml:space="preserve">Es de público conocimiento que el </w:t>
      </w:r>
      <w:r w:rsidRPr="00496980">
        <w:rPr>
          <w:rFonts w:cs="Arial"/>
          <w:smallCaps/>
        </w:rPr>
        <w:t>ctcp</w:t>
      </w:r>
      <w:r>
        <w:rPr>
          <w:rFonts w:cs="Arial"/>
        </w:rPr>
        <w:t xml:space="preserve"> no pudo iniciar sus labores el 1 de enero de 2010</w:t>
      </w:r>
      <w:r w:rsidR="00EF1AAC">
        <w:rPr>
          <w:rFonts w:cs="Arial"/>
        </w:rPr>
        <w:t xml:space="preserve">. El PdT objeto de comentarios fue preparado </w:t>
      </w:r>
      <w:r w:rsidR="00B61DA3">
        <w:rPr>
          <w:rFonts w:cs="Arial"/>
        </w:rPr>
        <w:t>en un lapso cercano a los 15 días calendario. Seguramente esta circunstancia impidi</w:t>
      </w:r>
      <w:r w:rsidR="00466D58">
        <w:rPr>
          <w:rFonts w:cs="Arial"/>
        </w:rPr>
        <w:t>ó</w:t>
      </w:r>
      <w:r w:rsidR="00B61DA3">
        <w:rPr>
          <w:rFonts w:cs="Arial"/>
        </w:rPr>
        <w:t xml:space="preserve"> que el </w:t>
      </w:r>
      <w:r w:rsidR="00B61DA3" w:rsidRPr="00466D58">
        <w:rPr>
          <w:rFonts w:cs="Arial"/>
          <w:smallCaps/>
        </w:rPr>
        <w:t>ctcp</w:t>
      </w:r>
      <w:r w:rsidR="00B61DA3">
        <w:rPr>
          <w:rFonts w:cs="Arial"/>
        </w:rPr>
        <w:t xml:space="preserve"> hiciera una primera revisión de las normas antes de expedir el plan</w:t>
      </w:r>
      <w:r w:rsidR="00466D58">
        <w:rPr>
          <w:rFonts w:cs="Arial"/>
        </w:rPr>
        <w:t>, como lo ordena el artículo transcrito</w:t>
      </w:r>
      <w:r w:rsidR="00B61DA3">
        <w:rPr>
          <w:rFonts w:cs="Arial"/>
        </w:rPr>
        <w:t>.</w:t>
      </w:r>
    </w:p>
    <w:p w:rsidR="00466D58" w:rsidRPr="00704C1D" w:rsidRDefault="00466D58" w:rsidP="00545C9C">
      <w:pPr>
        <w:jc w:val="both"/>
        <w:rPr>
          <w:rFonts w:cs="Arial"/>
        </w:rPr>
      </w:pPr>
      <w:r>
        <w:rPr>
          <w:rFonts w:cs="Arial"/>
        </w:rPr>
        <w:t>De otro lado, el PdT no señala la secuencia en que se desarrollarían las acciones que enumera, ni el tiempo que se destinaría a cada una de ellas. Así las cosas no es posible evaluar si el plazo legal de 24 meses es excesivo o insuficiente para su realización.</w:t>
      </w:r>
      <w:r w:rsidR="00704C1D">
        <w:rPr>
          <w:rFonts w:cs="Arial"/>
        </w:rPr>
        <w:t xml:space="preserve"> </w:t>
      </w:r>
      <w:r w:rsidR="00CA69F9" w:rsidRPr="00704C1D">
        <w:rPr>
          <w:rFonts w:cs="Arial"/>
        </w:rPr>
        <w:t>Adviértase</w:t>
      </w:r>
      <w:r w:rsidR="00704C1D" w:rsidRPr="00704C1D">
        <w:rPr>
          <w:rFonts w:cs="Arial"/>
        </w:rPr>
        <w:t xml:space="preserve"> </w:t>
      </w:r>
      <w:r w:rsidR="00CA69F9" w:rsidRPr="00704C1D">
        <w:rPr>
          <w:rFonts w:cs="Arial"/>
        </w:rPr>
        <w:t>que</w:t>
      </w:r>
      <w:r w:rsidR="00704C1D" w:rsidRPr="00704C1D">
        <w:rPr>
          <w:rFonts w:cs="Arial"/>
        </w:rPr>
        <w:t xml:space="preserve"> </w:t>
      </w:r>
      <w:r w:rsidR="00CA69F9" w:rsidRPr="00704C1D">
        <w:rPr>
          <w:rFonts w:cs="Arial"/>
        </w:rPr>
        <w:t>un</w:t>
      </w:r>
      <w:r w:rsidR="00704C1D" w:rsidRPr="00704C1D">
        <w:rPr>
          <w:rFonts w:cs="Arial"/>
        </w:rPr>
        <w:t xml:space="preserve"> estudio </w:t>
      </w:r>
      <w:r w:rsidR="00CA69F9" w:rsidRPr="00704C1D">
        <w:rPr>
          <w:rFonts w:cs="Arial"/>
        </w:rPr>
        <w:t>reciente</w:t>
      </w:r>
      <w:r w:rsidR="00704C1D" w:rsidRPr="00704C1D">
        <w:rPr>
          <w:rFonts w:cs="Arial"/>
        </w:rPr>
        <w:t xml:space="preserve"> </w:t>
      </w:r>
      <w:r w:rsidR="00CA69F9" w:rsidRPr="00704C1D">
        <w:rPr>
          <w:rFonts w:cs="Arial"/>
        </w:rPr>
        <w:t>señaló</w:t>
      </w:r>
      <w:r w:rsidR="00C53581" w:rsidRPr="00704C1D">
        <w:rPr>
          <w:rStyle w:val="Refdenotaalpie"/>
          <w:rFonts w:cs="Arial"/>
        </w:rPr>
        <w:footnoteReference w:id="8"/>
      </w:r>
      <w:r w:rsidR="00CA69F9" w:rsidRPr="00704C1D">
        <w:rPr>
          <w:rFonts w:cs="Arial"/>
        </w:rPr>
        <w:t>:</w:t>
      </w:r>
    </w:p>
    <w:p w:rsidR="00CA69F9" w:rsidRPr="00CA69F9" w:rsidRDefault="00CA69F9" w:rsidP="00545C9C">
      <w:pPr>
        <w:ind w:left="708"/>
        <w:jc w:val="both"/>
        <w:rPr>
          <w:rFonts w:cs="Arial"/>
          <w:i/>
          <w:lang w:val="en-US"/>
        </w:rPr>
      </w:pPr>
      <w:r w:rsidRPr="00CA69F9">
        <w:rPr>
          <w:rFonts w:cs="Arial"/>
          <w:i/>
          <w:lang w:val="en-US"/>
        </w:rPr>
        <w:t>“International experience shows that at least four years are necessary for companies, users, accountants, and regulators to prepare themselves adequately once the obligation to apply IFRS goes into effect. Successfully managing the transition to IFRS adoption requires a sustained and thorough engagement on the part of implementing authorities (such as the securities market regulator), including such activities as the following:</w:t>
      </w:r>
    </w:p>
    <w:p w:rsidR="00CA69F9" w:rsidRPr="00CA69F9" w:rsidRDefault="00CA69F9" w:rsidP="00545C9C">
      <w:pPr>
        <w:ind w:left="708"/>
        <w:jc w:val="both"/>
        <w:rPr>
          <w:rFonts w:cs="Arial"/>
          <w:i/>
          <w:lang w:val="en-US"/>
        </w:rPr>
      </w:pPr>
      <w:r w:rsidRPr="00CA69F9">
        <w:rPr>
          <w:rFonts w:cs="Arial"/>
          <w:i/>
          <w:lang w:val="en-US"/>
        </w:rPr>
        <w:t>• Regular outreach to the business community,</w:t>
      </w:r>
    </w:p>
    <w:p w:rsidR="00CA69F9" w:rsidRPr="00CA69F9" w:rsidRDefault="00CA69F9" w:rsidP="00545C9C">
      <w:pPr>
        <w:ind w:left="708"/>
        <w:jc w:val="both"/>
        <w:rPr>
          <w:rFonts w:cs="Arial"/>
          <w:i/>
          <w:lang w:val="en-US"/>
        </w:rPr>
      </w:pPr>
      <w:r w:rsidRPr="00CA69F9">
        <w:rPr>
          <w:rFonts w:cs="Arial"/>
          <w:i/>
          <w:lang w:val="en-US"/>
        </w:rPr>
        <w:t>• Substantial training of regulatory staff and market participants,</w:t>
      </w:r>
    </w:p>
    <w:p w:rsidR="00CA69F9" w:rsidRPr="00CA69F9" w:rsidRDefault="00CA69F9" w:rsidP="00545C9C">
      <w:pPr>
        <w:ind w:left="708"/>
        <w:jc w:val="both"/>
        <w:rPr>
          <w:rFonts w:cs="Arial"/>
          <w:i/>
          <w:lang w:val="en-US"/>
        </w:rPr>
      </w:pPr>
      <w:r w:rsidRPr="00CA69F9">
        <w:rPr>
          <w:rFonts w:cs="Arial"/>
          <w:i/>
          <w:lang w:val="en-US"/>
        </w:rPr>
        <w:t>• Ongoing and transparent communication to ensure that the requirements</w:t>
      </w:r>
      <w:r w:rsidR="00E01200">
        <w:rPr>
          <w:rFonts w:cs="Arial"/>
          <w:i/>
          <w:lang w:val="en-US"/>
        </w:rPr>
        <w:t xml:space="preserve"> </w:t>
      </w:r>
      <w:r w:rsidRPr="00CA69F9">
        <w:rPr>
          <w:rFonts w:cs="Arial"/>
          <w:i/>
          <w:lang w:val="en-US"/>
        </w:rPr>
        <w:t>and the timeframe are properly understood and can be met, and</w:t>
      </w:r>
    </w:p>
    <w:p w:rsidR="00CA69F9" w:rsidRPr="00CA69F9" w:rsidRDefault="00CA69F9" w:rsidP="00545C9C">
      <w:pPr>
        <w:ind w:left="708"/>
        <w:jc w:val="both"/>
        <w:rPr>
          <w:rFonts w:cs="Arial"/>
          <w:i/>
          <w:lang w:val="en-US"/>
        </w:rPr>
      </w:pPr>
      <w:r w:rsidRPr="00CA69F9">
        <w:rPr>
          <w:rFonts w:cs="Arial"/>
          <w:i/>
          <w:lang w:val="en-US"/>
        </w:rPr>
        <w:t>• Close monitoring of companies’ progress in preparing for implementation.”</w:t>
      </w:r>
    </w:p>
    <w:p w:rsidR="00B61DA3" w:rsidRDefault="00805E9D" w:rsidP="00545C9C">
      <w:pPr>
        <w:jc w:val="both"/>
        <w:rPr>
          <w:rFonts w:cs="Arial"/>
        </w:rPr>
      </w:pPr>
      <w:r>
        <w:rPr>
          <w:rFonts w:cs="Arial"/>
        </w:rPr>
        <w:t>En tercer lugar</w:t>
      </w:r>
      <w:r w:rsidR="00600B1A">
        <w:rPr>
          <w:rFonts w:cs="Arial"/>
        </w:rPr>
        <w:t>,</w:t>
      </w:r>
      <w:r>
        <w:rPr>
          <w:rFonts w:cs="Arial"/>
        </w:rPr>
        <w:t xml:space="preserve"> el plan previsto en la ley debería </w:t>
      </w:r>
      <w:r w:rsidR="00E709AE">
        <w:rPr>
          <w:rFonts w:cs="Arial"/>
        </w:rPr>
        <w:t xml:space="preserve">concretar los pasos a seguir para la elaboración de los proyectos que el </w:t>
      </w:r>
      <w:r w:rsidR="00E709AE" w:rsidRPr="00E709AE">
        <w:rPr>
          <w:rFonts w:cs="Arial"/>
          <w:smallCaps/>
        </w:rPr>
        <w:t>ctcp</w:t>
      </w:r>
      <w:r w:rsidR="00E709AE">
        <w:rPr>
          <w:rFonts w:cs="Arial"/>
        </w:rPr>
        <w:t xml:space="preserve"> deberá presentar a las autoridades reguladoras. Este nivel de precisión no se logr</w:t>
      </w:r>
      <w:r w:rsidR="00CA69F9">
        <w:rPr>
          <w:rFonts w:cs="Arial"/>
        </w:rPr>
        <w:t>ó</w:t>
      </w:r>
      <w:r w:rsidR="00482576">
        <w:rPr>
          <w:rFonts w:cs="Arial"/>
        </w:rPr>
        <w:t xml:space="preserve"> </w:t>
      </w:r>
      <w:r w:rsidR="00CA69F9">
        <w:rPr>
          <w:rFonts w:cs="Arial"/>
        </w:rPr>
        <w:t>porque</w:t>
      </w:r>
      <w:r w:rsidR="00E709AE">
        <w:rPr>
          <w:rFonts w:cs="Arial"/>
        </w:rPr>
        <w:t xml:space="preserve"> que en </w:t>
      </w:r>
      <w:r w:rsidR="00CA69F9">
        <w:rPr>
          <w:rFonts w:cs="Arial"/>
        </w:rPr>
        <w:t>gran medida</w:t>
      </w:r>
      <w:r w:rsidR="00E709AE">
        <w:rPr>
          <w:rFonts w:cs="Arial"/>
        </w:rPr>
        <w:t xml:space="preserve"> el PdT se limit</w:t>
      </w:r>
      <w:r w:rsidR="00CA69F9">
        <w:rPr>
          <w:rFonts w:cs="Arial"/>
        </w:rPr>
        <w:t>ó</w:t>
      </w:r>
      <w:r w:rsidR="00E709AE">
        <w:rPr>
          <w:rFonts w:cs="Arial"/>
        </w:rPr>
        <w:t xml:space="preserve"> a re-</w:t>
      </w:r>
      <w:r w:rsidR="008E5004">
        <w:rPr>
          <w:rFonts w:cs="Arial"/>
        </w:rPr>
        <w:t>expresar los lineamientos consagrados en la citada Ley 1314.</w:t>
      </w:r>
    </w:p>
    <w:p w:rsidR="00F736E5" w:rsidRDefault="00F736E5" w:rsidP="00545C9C">
      <w:pPr>
        <w:jc w:val="both"/>
        <w:rPr>
          <w:rFonts w:cs="Arial"/>
        </w:rPr>
      </w:pPr>
      <w:r>
        <w:rPr>
          <w:rFonts w:cs="Arial"/>
        </w:rPr>
        <w:lastRenderedPageBreak/>
        <w:t>Otra perspectiva para analizar el PdT consiste en recurrir a las recomendaciones que la técnica de planeación ha decantado.</w:t>
      </w:r>
    </w:p>
    <w:p w:rsidR="00F82972" w:rsidRDefault="00F736E5" w:rsidP="00545C9C">
      <w:pPr>
        <w:jc w:val="both"/>
      </w:pPr>
      <w:r>
        <w:rPr>
          <w:rFonts w:cs="Arial"/>
        </w:rPr>
        <w:t>Desde esta segunda perspectiva se advierte que e</w:t>
      </w:r>
      <w:r w:rsidR="00F82972" w:rsidRPr="005A1CDD">
        <w:rPr>
          <w:rFonts w:cs="Arial"/>
        </w:rPr>
        <w:t>l plan es d</w:t>
      </w:r>
      <w:r w:rsidR="00F82972">
        <w:t xml:space="preserve">emasiado </w:t>
      </w:r>
      <w:r>
        <w:t xml:space="preserve">general, al punto que no será fácil </w:t>
      </w:r>
      <w:r w:rsidR="00F82972">
        <w:t xml:space="preserve">realizar un seguimiento </w:t>
      </w:r>
      <w:r w:rsidR="00C47E5D">
        <w:t xml:space="preserve">técnico </w:t>
      </w:r>
      <w:r w:rsidR="00F82972">
        <w:t>de las labores propuestas.</w:t>
      </w:r>
    </w:p>
    <w:p w:rsidR="00F82972" w:rsidRPr="005A1CDD" w:rsidRDefault="00C47E5D" w:rsidP="00545C9C">
      <w:pPr>
        <w:jc w:val="both"/>
        <w:rPr>
          <w:rFonts w:cs="Arial"/>
        </w:rPr>
      </w:pPr>
      <w:r>
        <w:rPr>
          <w:rFonts w:cs="Arial"/>
        </w:rPr>
        <w:t>Se echa de menos la inclusión del respectivo presupuesto. Como se sabe, u</w:t>
      </w:r>
      <w:r w:rsidR="00F82972" w:rsidRPr="005A1CDD">
        <w:rPr>
          <w:rFonts w:cs="Arial"/>
        </w:rPr>
        <w:t>n plan sin presupuesto no es viable</w:t>
      </w:r>
      <w:r>
        <w:rPr>
          <w:rFonts w:cs="Arial"/>
        </w:rPr>
        <w:t>:</w:t>
      </w:r>
      <w:r w:rsidR="00F82972" w:rsidRPr="005A1CDD">
        <w:rPr>
          <w:rFonts w:cs="Arial"/>
        </w:rPr>
        <w:t xml:space="preserve"> cualquier actividad que se program</w:t>
      </w:r>
      <w:r w:rsidR="009678F5">
        <w:rPr>
          <w:rFonts w:cs="Arial"/>
        </w:rPr>
        <w:t>e</w:t>
      </w:r>
      <w:r w:rsidR="00482576">
        <w:rPr>
          <w:rFonts w:cs="Arial"/>
        </w:rPr>
        <w:t xml:space="preserve"> </w:t>
      </w:r>
      <w:r>
        <w:rPr>
          <w:rFonts w:cs="Arial"/>
        </w:rPr>
        <w:t xml:space="preserve">en tales condiciones </w:t>
      </w:r>
      <w:r w:rsidR="00F82972" w:rsidRPr="005A1CDD">
        <w:rPr>
          <w:rFonts w:cs="Arial"/>
        </w:rPr>
        <w:t>queda</w:t>
      </w:r>
      <w:r w:rsidR="009678F5">
        <w:rPr>
          <w:rFonts w:cs="Arial"/>
        </w:rPr>
        <w:t>rá</w:t>
      </w:r>
      <w:r w:rsidR="00F82972" w:rsidRPr="005A1CDD">
        <w:rPr>
          <w:rFonts w:cs="Arial"/>
        </w:rPr>
        <w:t xml:space="preserve"> en el </w:t>
      </w:r>
      <w:r w:rsidRPr="005A1CDD">
        <w:rPr>
          <w:rFonts w:cs="Arial"/>
        </w:rPr>
        <w:t>vacío</w:t>
      </w:r>
      <w:r>
        <w:rPr>
          <w:rFonts w:cs="Arial"/>
        </w:rPr>
        <w:t>,</w:t>
      </w:r>
      <w:r w:rsidR="00F82972" w:rsidRPr="005A1CDD">
        <w:rPr>
          <w:rFonts w:cs="Arial"/>
        </w:rPr>
        <w:t xml:space="preserve"> al no tener asegurada su ejecución.</w:t>
      </w:r>
      <w:r>
        <w:rPr>
          <w:rFonts w:cs="Arial"/>
        </w:rPr>
        <w:t xml:space="preserve"> La determinación de los recursos necesarios supone un gran detalle</w:t>
      </w:r>
      <w:r w:rsidR="00D84A91">
        <w:rPr>
          <w:rFonts w:cs="Arial"/>
        </w:rPr>
        <w:t xml:space="preserve">. </w:t>
      </w:r>
      <w:r w:rsidR="0027027A">
        <w:rPr>
          <w:rFonts w:cs="Arial"/>
        </w:rPr>
        <w:t>Según</w:t>
      </w:r>
      <w:r w:rsidR="00D84A91">
        <w:rPr>
          <w:rFonts w:cs="Arial"/>
        </w:rPr>
        <w:t xml:space="preserve"> la experiencia de otros países</w:t>
      </w:r>
      <w:r w:rsidR="0027027A">
        <w:rPr>
          <w:rFonts w:cs="Arial"/>
        </w:rPr>
        <w:t>,</w:t>
      </w:r>
      <w:r w:rsidR="00D84A91">
        <w:rPr>
          <w:rFonts w:cs="Arial"/>
        </w:rPr>
        <w:t xml:space="preserve"> el presupuesto puede variar significativamente</w:t>
      </w:r>
      <w:r w:rsidR="0027027A">
        <w:rPr>
          <w:rFonts w:cs="Arial"/>
        </w:rPr>
        <w:t>, dependiendo</w:t>
      </w:r>
      <w:r w:rsidR="00E01200">
        <w:rPr>
          <w:rFonts w:cs="Arial"/>
        </w:rPr>
        <w:t xml:space="preserve"> </w:t>
      </w:r>
      <w:r w:rsidR="0027027A">
        <w:rPr>
          <w:rFonts w:cs="Arial"/>
        </w:rPr>
        <w:t xml:space="preserve">de </w:t>
      </w:r>
      <w:r w:rsidR="009678F5">
        <w:rPr>
          <w:rFonts w:cs="Arial"/>
        </w:rPr>
        <w:t xml:space="preserve">lo que se planee. </w:t>
      </w:r>
      <w:r w:rsidR="004E1602">
        <w:rPr>
          <w:rFonts w:cs="Arial"/>
        </w:rPr>
        <w:t xml:space="preserve">Los proyectos financiados por el </w:t>
      </w:r>
      <w:r w:rsidR="00ED470F">
        <w:rPr>
          <w:rFonts w:cs="Arial"/>
        </w:rPr>
        <w:t>Fomín</w:t>
      </w:r>
      <w:r w:rsidR="004E1602">
        <w:rPr>
          <w:rFonts w:cs="Arial"/>
        </w:rPr>
        <w:t xml:space="preserve"> dan cuenta que el plan de</w:t>
      </w:r>
      <w:r w:rsidR="00482576">
        <w:rPr>
          <w:rFonts w:cs="Arial"/>
        </w:rPr>
        <w:t xml:space="preserve"> </w:t>
      </w:r>
      <w:r w:rsidR="009678F5">
        <w:rPr>
          <w:rFonts w:cs="Arial"/>
        </w:rPr>
        <w:t xml:space="preserve">Bolivia supuso </w:t>
      </w:r>
      <w:r w:rsidR="009678F5" w:rsidRPr="009678F5">
        <w:rPr>
          <w:rFonts w:cs="Arial"/>
        </w:rPr>
        <w:t>US$711.500</w:t>
      </w:r>
      <w:r w:rsidR="009678F5">
        <w:rPr>
          <w:rFonts w:cs="Arial"/>
        </w:rPr>
        <w:t xml:space="preserve"> y 36 meses de ejecución</w:t>
      </w:r>
      <w:r w:rsidR="00ED470F">
        <w:rPr>
          <w:rStyle w:val="Refdenotaalpie"/>
          <w:rFonts w:cs="Arial"/>
        </w:rPr>
        <w:footnoteReference w:id="9"/>
      </w:r>
      <w:r w:rsidR="009678F5">
        <w:rPr>
          <w:rFonts w:cs="Arial"/>
        </w:rPr>
        <w:t>.</w:t>
      </w:r>
      <w:r w:rsidR="00ED470F">
        <w:rPr>
          <w:rFonts w:cs="Arial"/>
        </w:rPr>
        <w:t xml:space="preserve"> El de Chile </w:t>
      </w:r>
      <w:r w:rsidR="00ED470F" w:rsidRPr="00ED470F">
        <w:rPr>
          <w:rFonts w:cs="Arial"/>
        </w:rPr>
        <w:t>US$1.500.000</w:t>
      </w:r>
      <w:r w:rsidR="00ED470F">
        <w:rPr>
          <w:rFonts w:cs="Arial"/>
        </w:rPr>
        <w:t xml:space="preserve"> y 48 meses de ejecución</w:t>
      </w:r>
      <w:r w:rsidR="002C3583">
        <w:rPr>
          <w:rFonts w:cs="Arial"/>
        </w:rPr>
        <w:t>. El de Costa Rica US$627.000 y 36 meses de ejecución</w:t>
      </w:r>
      <w:r w:rsidR="002C3583">
        <w:rPr>
          <w:rStyle w:val="Refdenotaalpie"/>
          <w:rFonts w:cs="Arial"/>
        </w:rPr>
        <w:footnoteReference w:id="10"/>
      </w:r>
      <w:r w:rsidR="005F3849">
        <w:rPr>
          <w:rFonts w:cs="Arial"/>
        </w:rPr>
        <w:t xml:space="preserve">. El de Honduras US$700.000 y 36 meses de ejecución. El de Jamaica </w:t>
      </w:r>
      <w:r w:rsidR="005F3849" w:rsidRPr="005F3849">
        <w:rPr>
          <w:rFonts w:cs="Arial"/>
        </w:rPr>
        <w:t>US$</w:t>
      </w:r>
      <w:r w:rsidR="00DB0B6B">
        <w:rPr>
          <w:rFonts w:cs="Arial"/>
        </w:rPr>
        <w:t xml:space="preserve">1.015.000 y </w:t>
      </w:r>
      <w:r w:rsidR="0049757C">
        <w:rPr>
          <w:rFonts w:cs="Arial"/>
        </w:rPr>
        <w:t>36 meses de ejecución</w:t>
      </w:r>
      <w:r w:rsidR="004057C3">
        <w:rPr>
          <w:rStyle w:val="Refdenotaalpie"/>
          <w:rFonts w:cs="Arial"/>
        </w:rPr>
        <w:footnoteReference w:id="11"/>
      </w:r>
      <w:r w:rsidR="0049757C">
        <w:rPr>
          <w:rFonts w:cs="Arial"/>
        </w:rPr>
        <w:t>.</w:t>
      </w:r>
      <w:r w:rsidR="00A63886">
        <w:rPr>
          <w:rFonts w:cs="Arial"/>
        </w:rPr>
        <w:t xml:space="preserve"> El de México US$3.575.000 y 36 meses de ejecución</w:t>
      </w:r>
      <w:r w:rsidR="00A63886">
        <w:rPr>
          <w:rStyle w:val="Refdenotaalpie"/>
          <w:rFonts w:cs="Arial"/>
        </w:rPr>
        <w:footnoteReference w:id="12"/>
      </w:r>
      <w:r w:rsidR="0024337C">
        <w:rPr>
          <w:rFonts w:cs="Arial"/>
        </w:rPr>
        <w:t xml:space="preserve">. </w:t>
      </w:r>
      <w:r w:rsidR="00D42E24">
        <w:rPr>
          <w:rFonts w:cs="Arial"/>
        </w:rPr>
        <w:t xml:space="preserve">El de Nicaragua </w:t>
      </w:r>
      <w:r w:rsidR="00D42E24" w:rsidRPr="00D12D46">
        <w:rPr>
          <w:rFonts w:cs="Arial"/>
        </w:rPr>
        <w:t>US$1</w:t>
      </w:r>
      <w:r w:rsidR="00D42E24">
        <w:rPr>
          <w:rFonts w:cs="Arial"/>
        </w:rPr>
        <w:t>.</w:t>
      </w:r>
      <w:r w:rsidR="00D42E24" w:rsidRPr="00D12D46">
        <w:rPr>
          <w:rFonts w:cs="Arial"/>
        </w:rPr>
        <w:t>398</w:t>
      </w:r>
      <w:r w:rsidR="00D42E24">
        <w:rPr>
          <w:rFonts w:cs="Arial"/>
        </w:rPr>
        <w:t>.</w:t>
      </w:r>
      <w:r w:rsidR="00D42E24" w:rsidRPr="00D12D46">
        <w:rPr>
          <w:rFonts w:cs="Arial"/>
        </w:rPr>
        <w:t>000</w:t>
      </w:r>
      <w:r w:rsidR="00D42E24">
        <w:rPr>
          <w:rFonts w:cs="Arial"/>
        </w:rPr>
        <w:t xml:space="preserve"> y 36 meses de ejecución</w:t>
      </w:r>
      <w:r w:rsidR="00D42E24">
        <w:rPr>
          <w:rStyle w:val="Refdenotaalpie"/>
          <w:rFonts w:cs="Arial"/>
        </w:rPr>
        <w:footnoteReference w:id="13"/>
      </w:r>
      <w:r w:rsidR="00D42E24">
        <w:rPr>
          <w:rFonts w:cs="Arial"/>
        </w:rPr>
        <w:t xml:space="preserve">. </w:t>
      </w:r>
      <w:r w:rsidR="0024337C">
        <w:rPr>
          <w:rFonts w:cs="Arial"/>
        </w:rPr>
        <w:t>El de Trinidad y Tobago US$1.015.000 y 36 meses de ejecución.</w:t>
      </w:r>
      <w:r w:rsidR="00FD62F2">
        <w:rPr>
          <w:rFonts w:cs="Arial"/>
        </w:rPr>
        <w:t xml:space="preserve"> El de Uruguay US$700.000 y 36 meses de ejecución</w:t>
      </w:r>
      <w:r w:rsidR="00F01376">
        <w:rPr>
          <w:rStyle w:val="Refdenotaalpie"/>
          <w:rFonts w:cs="Arial"/>
        </w:rPr>
        <w:footnoteReference w:id="14"/>
      </w:r>
      <w:r w:rsidR="00D12D46">
        <w:rPr>
          <w:rFonts w:cs="Arial"/>
        </w:rPr>
        <w:t xml:space="preserve">. </w:t>
      </w:r>
      <w:r w:rsidR="00880905">
        <w:rPr>
          <w:rFonts w:cs="Arial"/>
        </w:rPr>
        <w:t xml:space="preserve">Como se recordará, los recursos del </w:t>
      </w:r>
      <w:r w:rsidR="00880905" w:rsidRPr="00880905">
        <w:rPr>
          <w:rFonts w:cs="Arial"/>
          <w:smallCaps/>
        </w:rPr>
        <w:t>ctcp</w:t>
      </w:r>
      <w:r w:rsidR="00880905">
        <w:rPr>
          <w:rFonts w:cs="Arial"/>
        </w:rPr>
        <w:t xml:space="preserve"> provienen del presupuesto nacional. Bien puede suceder que las acciones a ejecutar se deban dispersar en el tiempo o incluso reducir si las cantidades previstas así lo impusieren.</w:t>
      </w:r>
    </w:p>
    <w:p w:rsidR="00F82972" w:rsidRDefault="00F82972" w:rsidP="00545C9C">
      <w:pPr>
        <w:jc w:val="both"/>
      </w:pPr>
      <w:r w:rsidRPr="005A1CDD">
        <w:rPr>
          <w:rFonts w:cs="Arial"/>
        </w:rPr>
        <w:t xml:space="preserve">Además de los recursos, un plan de trabajo debe contemplar responsables, plazos y productos a entregar. </w:t>
      </w:r>
      <w:r w:rsidR="00A439D7">
        <w:rPr>
          <w:rFonts w:cs="Arial"/>
        </w:rPr>
        <w:t>El PdT no contiene ninguna programación. Entre otras cosas,</w:t>
      </w:r>
      <w:r w:rsidRPr="005A1CDD">
        <w:rPr>
          <w:rFonts w:cs="Arial"/>
        </w:rPr>
        <w:t xml:space="preserve"> se corre el riesgo </w:t>
      </w:r>
      <w:r w:rsidR="00A439D7">
        <w:rPr>
          <w:rFonts w:cs="Arial"/>
        </w:rPr>
        <w:t xml:space="preserve">de </w:t>
      </w:r>
      <w:r w:rsidRPr="005A1CDD">
        <w:rPr>
          <w:rFonts w:cs="Arial"/>
        </w:rPr>
        <w:t>que lo que se pretende realizar no se lleve a cab</w:t>
      </w:r>
      <w:r w:rsidR="00A439D7">
        <w:rPr>
          <w:rFonts w:cs="Arial"/>
        </w:rPr>
        <w:t>o por no existir un “doliente”.</w:t>
      </w:r>
      <w:r w:rsidR="00E01200">
        <w:rPr>
          <w:rFonts w:cs="Arial"/>
        </w:rPr>
        <w:t xml:space="preserve"> </w:t>
      </w:r>
      <w:r w:rsidR="004A3DEF">
        <w:rPr>
          <w:rFonts w:cs="TimesNewRomanPS-BoldMT"/>
          <w:bCs/>
          <w:lang w:eastAsia="es-ES"/>
        </w:rPr>
        <w:t xml:space="preserve">Se observaron </w:t>
      </w:r>
      <w:r w:rsidR="004A3DEF" w:rsidRPr="005A1CDD">
        <w:rPr>
          <w:rFonts w:cs="TimesNewRomanPS-BoldMT"/>
          <w:bCs/>
          <w:lang w:eastAsia="es-ES"/>
        </w:rPr>
        <w:t xml:space="preserve">algunas inconsistencias en </w:t>
      </w:r>
      <w:r w:rsidR="004A3DEF">
        <w:rPr>
          <w:rFonts w:cs="TimesNewRomanPS-BoldMT"/>
          <w:bCs/>
          <w:lang w:eastAsia="es-ES"/>
        </w:rPr>
        <w:t>el orden</w:t>
      </w:r>
      <w:r w:rsidR="004A3DEF" w:rsidRPr="005A1CDD">
        <w:rPr>
          <w:rFonts w:cs="TimesNewRomanPS-BoldMT"/>
          <w:bCs/>
          <w:lang w:eastAsia="es-ES"/>
        </w:rPr>
        <w:t xml:space="preserve"> de las ideas. </w:t>
      </w:r>
      <w:r w:rsidR="004A3DEF">
        <w:rPr>
          <w:rFonts w:cs="TimesNewRomanPS-BoldMT"/>
          <w:bCs/>
          <w:lang w:eastAsia="es-ES"/>
        </w:rPr>
        <w:t>Las</w:t>
      </w:r>
      <w:r w:rsidR="00482576">
        <w:rPr>
          <w:rFonts w:cs="TimesNewRomanPS-BoldMT"/>
          <w:bCs/>
          <w:lang w:eastAsia="es-ES"/>
        </w:rPr>
        <w:t xml:space="preserve"> </w:t>
      </w:r>
      <w:r w:rsidR="004A3DEF">
        <w:rPr>
          <w:rFonts w:cs="TimesNewRomanPS-BoldMT"/>
          <w:bCs/>
          <w:lang w:eastAsia="es-ES"/>
        </w:rPr>
        <w:t>acciones</w:t>
      </w:r>
      <w:r w:rsidR="00482576">
        <w:rPr>
          <w:rFonts w:cs="TimesNewRomanPS-BoldMT"/>
          <w:bCs/>
          <w:lang w:eastAsia="es-ES"/>
        </w:rPr>
        <w:t xml:space="preserve"> </w:t>
      </w:r>
      <w:r w:rsidR="004A3DEF">
        <w:rPr>
          <w:rFonts w:cs="TimesNewRomanPS-BoldMT"/>
          <w:bCs/>
          <w:lang w:eastAsia="es-ES"/>
        </w:rPr>
        <w:t>deberían</w:t>
      </w:r>
      <w:r w:rsidR="004A3DEF" w:rsidRPr="005A1CDD">
        <w:rPr>
          <w:rFonts w:cs="TimesNewRomanPS-BoldMT"/>
          <w:bCs/>
          <w:lang w:eastAsia="es-ES"/>
        </w:rPr>
        <w:t xml:space="preserve"> tener una secuencia lógica</w:t>
      </w:r>
      <w:r w:rsidR="004A3DEF">
        <w:rPr>
          <w:rFonts w:cs="TimesNewRomanPS-BoldMT"/>
          <w:bCs/>
          <w:lang w:eastAsia="es-ES"/>
        </w:rPr>
        <w:t>, como lo implica</w:t>
      </w:r>
      <w:r w:rsidR="00482576">
        <w:rPr>
          <w:rFonts w:cs="TimesNewRomanPS-BoldMT"/>
          <w:bCs/>
          <w:lang w:eastAsia="es-ES"/>
        </w:rPr>
        <w:t xml:space="preserve"> </w:t>
      </w:r>
      <w:r w:rsidR="004A3DEF">
        <w:rPr>
          <w:rFonts w:cs="TimesNewRomanPS-BoldMT"/>
          <w:bCs/>
          <w:lang w:eastAsia="es-ES"/>
        </w:rPr>
        <w:t>una adecuada programación.</w:t>
      </w:r>
    </w:p>
    <w:p w:rsidR="00F82972" w:rsidRPr="005A1CDD" w:rsidRDefault="00F82972" w:rsidP="00545C9C">
      <w:pPr>
        <w:jc w:val="both"/>
        <w:rPr>
          <w:rFonts w:cs="TimesNewRomanPS-BoldMT"/>
          <w:bCs/>
          <w:lang w:eastAsia="es-ES"/>
        </w:rPr>
      </w:pPr>
      <w:r w:rsidRPr="005A1CDD">
        <w:rPr>
          <w:rFonts w:cs="TimesNewRomanPS-BoldMT"/>
          <w:bCs/>
          <w:lang w:eastAsia="es-ES"/>
        </w:rPr>
        <w:t xml:space="preserve">En el </w:t>
      </w:r>
      <w:r w:rsidR="00A439D7">
        <w:rPr>
          <w:rFonts w:cs="TimesNewRomanPS-BoldMT"/>
          <w:bCs/>
          <w:lang w:eastAsia="es-ES"/>
        </w:rPr>
        <w:t>PdT</w:t>
      </w:r>
      <w:r w:rsidRPr="005A1CDD">
        <w:rPr>
          <w:rFonts w:cs="TimesNewRomanPS-BoldMT"/>
          <w:bCs/>
          <w:lang w:eastAsia="es-ES"/>
        </w:rPr>
        <w:t xml:space="preserve"> no se observan indicaciones sobre las actividades encaminadas a evitar conf</w:t>
      </w:r>
      <w:r w:rsidR="00A439D7">
        <w:rPr>
          <w:rFonts w:cs="TimesNewRomanPS-BoldMT"/>
          <w:bCs/>
          <w:lang w:eastAsia="es-ES"/>
        </w:rPr>
        <w:t>lictos con otras regulaciones (c</w:t>
      </w:r>
      <w:r w:rsidRPr="005A1CDD">
        <w:rPr>
          <w:rFonts w:cs="TimesNewRomanPS-BoldMT"/>
          <w:bCs/>
          <w:lang w:eastAsia="es-ES"/>
        </w:rPr>
        <w:t>omerciales, tributarias, laborales, etc.).</w:t>
      </w:r>
    </w:p>
    <w:p w:rsidR="005A1CDD" w:rsidRDefault="004A3DEF" w:rsidP="00545C9C">
      <w:pPr>
        <w:jc w:val="both"/>
      </w:pPr>
      <w:r>
        <w:lastRenderedPageBreak/>
        <w:t xml:space="preserve">El </w:t>
      </w:r>
      <w:r w:rsidRPr="004A3DEF">
        <w:rPr>
          <w:smallCaps/>
        </w:rPr>
        <w:t>ctcp</w:t>
      </w:r>
      <w:r>
        <w:t xml:space="preserve"> debería abordar</w:t>
      </w:r>
      <w:r w:rsidR="00F82972">
        <w:t xml:space="preserve"> la revisión de </w:t>
      </w:r>
      <w:r w:rsidR="00F82972" w:rsidRPr="008E6F6E">
        <w:t>otros planes de trabajo, por e</w:t>
      </w:r>
      <w:r w:rsidR="00D874BC">
        <w:t xml:space="preserve">jemplo los de </w:t>
      </w:r>
      <w:r w:rsidR="00001794">
        <w:t xml:space="preserve">Argentina, </w:t>
      </w:r>
      <w:r w:rsidR="00D874BC">
        <w:t xml:space="preserve">Chile, </w:t>
      </w:r>
      <w:r w:rsidR="00001794" w:rsidRPr="008E6F6E">
        <w:t>Ecuador</w:t>
      </w:r>
      <w:r w:rsidR="00D874BC">
        <w:t xml:space="preserve">, </w:t>
      </w:r>
      <w:r w:rsidR="00F82972" w:rsidRPr="008E6F6E">
        <w:t>Perú</w:t>
      </w:r>
      <w:r w:rsidR="00001794">
        <w:t xml:space="preserve"> o</w:t>
      </w:r>
      <w:r w:rsidR="00F82972" w:rsidRPr="008E6F6E">
        <w:t xml:space="preserve"> Venezuela (</w:t>
      </w:r>
      <w:r w:rsidR="00001794">
        <w:t>q</w:t>
      </w:r>
      <w:r w:rsidR="00F82972">
        <w:t xml:space="preserve">ue </w:t>
      </w:r>
      <w:r w:rsidR="00001794">
        <w:t>en</w:t>
      </w:r>
      <w:r w:rsidR="00E01200">
        <w:t xml:space="preserve"> </w:t>
      </w:r>
      <w:r w:rsidR="00F82972" w:rsidRPr="008E6F6E">
        <w:t>Suramérica</w:t>
      </w:r>
      <w:r w:rsidR="00F82972">
        <w:t xml:space="preserve"> han transitado por procesos de modernización de la regulación contable </w:t>
      </w:r>
      <w:r w:rsidR="00CE091A">
        <w:t xml:space="preserve">similares </w:t>
      </w:r>
      <w:r w:rsidR="00F82972">
        <w:t xml:space="preserve">y que presentan entornos económicos </w:t>
      </w:r>
      <w:r w:rsidR="00F1474A">
        <w:t>parecidos</w:t>
      </w:r>
      <w:r w:rsidR="00F82972">
        <w:t xml:space="preserve"> al colombiano</w:t>
      </w:r>
      <w:r w:rsidR="00F82972" w:rsidRPr="008E6F6E">
        <w:t>), o los de México</w:t>
      </w:r>
      <w:r w:rsidR="00BC2A18">
        <w:t xml:space="preserve">, </w:t>
      </w:r>
      <w:r w:rsidR="00BC2A18" w:rsidRPr="008E6F6E">
        <w:t>Brasil</w:t>
      </w:r>
      <w:r w:rsidR="00D874BC">
        <w:t>,</w:t>
      </w:r>
      <w:r w:rsidR="00E01200">
        <w:t xml:space="preserve"> </w:t>
      </w:r>
      <w:r w:rsidR="00026EC0">
        <w:t xml:space="preserve">Canadá, </w:t>
      </w:r>
      <w:r w:rsidR="00F82972">
        <w:t>Estados Unidos</w:t>
      </w:r>
      <w:r w:rsidR="00BC2A18">
        <w:t xml:space="preserve"> o la Unión Europea</w:t>
      </w:r>
      <w:r w:rsidR="00CE091A">
        <w:t>,</w:t>
      </w:r>
      <w:r w:rsidR="00E01200">
        <w:t xml:space="preserve"> </w:t>
      </w:r>
      <w:r w:rsidR="00BC2A18">
        <w:t xml:space="preserve">que también pueden aportar elementos valiosos </w:t>
      </w:r>
      <w:r w:rsidR="00CE091A">
        <w:t>par</w:t>
      </w:r>
      <w:r w:rsidR="00BC2A18">
        <w:t>a la planeación de las actividades</w:t>
      </w:r>
      <w:r w:rsidR="00FA03B8">
        <w:t xml:space="preserve"> en Colombia</w:t>
      </w:r>
      <w:r w:rsidR="00F82972">
        <w:t>.</w:t>
      </w:r>
    </w:p>
    <w:p w:rsidR="00D206D7" w:rsidRPr="00D206D7" w:rsidRDefault="00D206D7" w:rsidP="00545C9C">
      <w:pPr>
        <w:pStyle w:val="Ttulo1"/>
        <w:jc w:val="both"/>
      </w:pPr>
      <w:bookmarkStart w:id="3" w:name="_Toc267647501"/>
      <w:r w:rsidRPr="00D206D7">
        <w:t>Condiciones pre</w:t>
      </w:r>
      <w:r w:rsidR="002F00F7">
        <w:t>vias a la elaboración del plan.</w:t>
      </w:r>
      <w:bookmarkEnd w:id="3"/>
    </w:p>
    <w:p w:rsidR="00F1474A" w:rsidRDefault="00F1474A" w:rsidP="00545C9C">
      <w:pPr>
        <w:jc w:val="both"/>
      </w:pPr>
    </w:p>
    <w:p w:rsidR="00AE0106" w:rsidRDefault="00B364B6" w:rsidP="00545C9C">
      <w:pPr>
        <w:jc w:val="both"/>
      </w:pPr>
      <w:r>
        <w:t xml:space="preserve">La capacidad del </w:t>
      </w:r>
      <w:r w:rsidRPr="00B364B6">
        <w:rPr>
          <w:smallCaps/>
        </w:rPr>
        <w:t>ctcp</w:t>
      </w:r>
      <w:r>
        <w:t xml:space="preserve"> para desarrollar el plan propuesto, o cualquier otro, es directamente proporcional a su infraestructura. Hasta la fecha no se</w:t>
      </w:r>
      <w:r w:rsidR="00AE0106">
        <w:t xml:space="preserve"> han</w:t>
      </w:r>
      <w:r>
        <w:t xml:space="preserve"> difundido en su totalidad los detalles de las condiciones de funcionamiento con que cuenta el </w:t>
      </w:r>
      <w:r w:rsidRPr="00B364B6">
        <w:rPr>
          <w:smallCaps/>
        </w:rPr>
        <w:t>ctcp</w:t>
      </w:r>
      <w:r>
        <w:t xml:space="preserve">. </w:t>
      </w:r>
      <w:r w:rsidR="00AE0106">
        <w:t>Por tanto</w:t>
      </w:r>
      <w:r w:rsidR="00BD1341">
        <w:t>,</w:t>
      </w:r>
      <w:r w:rsidR="00AE0106">
        <w:t xml:space="preserve"> no se sabe si podrá o no hacer frente a la tarea que comienza. Convi</w:t>
      </w:r>
      <w:r w:rsidR="00BD1341">
        <w:t>e</w:t>
      </w:r>
      <w:r w:rsidR="00AE0106">
        <w:t xml:space="preserve">ne que estas cuestiones se aclaren prontamente, en especial porque el anterior Presidente sostuvo que el </w:t>
      </w:r>
      <w:r w:rsidR="00AE0106" w:rsidRPr="00AE0106">
        <w:rPr>
          <w:smallCaps/>
        </w:rPr>
        <w:t>ctcp</w:t>
      </w:r>
      <w:r w:rsidR="00AE0106">
        <w:t xml:space="preserve"> fue desmantelado</w:t>
      </w:r>
      <w:r w:rsidR="00AE0106">
        <w:rPr>
          <w:rStyle w:val="Refdenotaalpie"/>
        </w:rPr>
        <w:footnoteReference w:id="15"/>
      </w:r>
      <w:r w:rsidR="00AE0106">
        <w:t>.</w:t>
      </w:r>
    </w:p>
    <w:p w:rsidR="00757E20" w:rsidRDefault="00BD1341" w:rsidP="00545C9C">
      <w:pPr>
        <w:jc w:val="both"/>
      </w:pPr>
      <w:r>
        <w:t>Ciertamente tales condiciones</w:t>
      </w:r>
      <w:r w:rsidR="00D20E88" w:rsidRPr="00BF4E01">
        <w:t xml:space="preserve"> no son </w:t>
      </w:r>
      <w:r>
        <w:t xml:space="preserve">en sentido estricto </w:t>
      </w:r>
      <w:r w:rsidR="00D20E88" w:rsidRPr="00BF4E01">
        <w:t xml:space="preserve">componentes </w:t>
      </w:r>
      <w:r>
        <w:t xml:space="preserve">de un </w:t>
      </w:r>
      <w:r w:rsidR="00D20E88" w:rsidRPr="00BF4E01">
        <w:t>plan</w:t>
      </w:r>
      <w:r>
        <w:t xml:space="preserve"> de convergencia</w:t>
      </w:r>
      <w:r w:rsidR="00D20E88" w:rsidRPr="00BF4E01">
        <w:t xml:space="preserve">, </w:t>
      </w:r>
      <w:r>
        <w:t>pero son necesaria</w:t>
      </w:r>
      <w:r w:rsidR="00D20E88" w:rsidRPr="00BF4E01">
        <w:t>s para una adecuada planeación</w:t>
      </w:r>
      <w:r w:rsidR="00DA7A3C">
        <w:t xml:space="preserve"> y ejecución</w:t>
      </w:r>
      <w:r w:rsidR="00D20E88" w:rsidRPr="00BF4E01">
        <w:t xml:space="preserve"> de actividades</w:t>
      </w:r>
      <w:r>
        <w:t xml:space="preserve"> de la entidad. Así las cosas, debe aplaudirse que algunas</w:t>
      </w:r>
      <w:r w:rsidR="00D20E88" w:rsidRPr="00BF4E01">
        <w:t xml:space="preserve"> de </w:t>
      </w:r>
      <w:r>
        <w:t>ellas esté</w:t>
      </w:r>
      <w:r w:rsidR="00D20E88" w:rsidRPr="00BF4E01">
        <w:t>n efectivamente contemplad</w:t>
      </w:r>
      <w:r>
        <w:t>a</w:t>
      </w:r>
      <w:r w:rsidR="00D20E88" w:rsidRPr="00BF4E01">
        <w:t xml:space="preserve">s en el primero de los ejes temáticos propuestos por el </w:t>
      </w:r>
      <w:r w:rsidR="00B6539E" w:rsidRPr="00B6539E">
        <w:rPr>
          <w:smallCaps/>
        </w:rPr>
        <w:t>ctcp</w:t>
      </w:r>
      <w:r w:rsidR="00D20E88" w:rsidRPr="00BF4E01">
        <w:t xml:space="preserve">. </w:t>
      </w:r>
    </w:p>
    <w:p w:rsidR="0019481B" w:rsidRDefault="00B70C37" w:rsidP="00545C9C">
      <w:pPr>
        <w:pStyle w:val="Ttulo3"/>
        <w:jc w:val="both"/>
      </w:pPr>
      <w:bookmarkStart w:id="4" w:name="_Toc267647502"/>
      <w:r>
        <w:t>Listado de cuestiones previas</w:t>
      </w:r>
      <w:bookmarkEnd w:id="4"/>
    </w:p>
    <w:p w:rsidR="00B70C37" w:rsidRPr="00B70C37" w:rsidRDefault="00B70C37" w:rsidP="00545C9C">
      <w:pPr>
        <w:jc w:val="both"/>
      </w:pPr>
    </w:p>
    <w:p w:rsidR="00096A02" w:rsidRDefault="00DA7A3C" w:rsidP="00545C9C">
      <w:pPr>
        <w:jc w:val="both"/>
      </w:pPr>
      <w:r>
        <w:t>Recopilando</w:t>
      </w:r>
      <w:r w:rsidR="00860CCC">
        <w:t xml:space="preserve"> cuestiones contenidas en el PdT</w:t>
      </w:r>
      <w:r>
        <w:t xml:space="preserve"> y </w:t>
      </w:r>
      <w:r w:rsidR="00B27840">
        <w:t>completando</w:t>
      </w:r>
      <w:r>
        <w:t xml:space="preserve">, creemos que, </w:t>
      </w:r>
      <w:r w:rsidRPr="00DA7A3C">
        <w:rPr>
          <w:b/>
          <w:u w:val="single"/>
        </w:rPr>
        <w:t>p</w:t>
      </w:r>
      <w:r w:rsidR="00D20E88" w:rsidRPr="00DA7A3C">
        <w:rPr>
          <w:b/>
          <w:u w:val="single"/>
        </w:rPr>
        <w:t>reviamente</w:t>
      </w:r>
      <w:r w:rsidR="00D20E88" w:rsidRPr="00BF4E01">
        <w:t xml:space="preserve"> a la elaboración del plan </w:t>
      </w:r>
      <w:r>
        <w:t xml:space="preserve">de convergencia, </w:t>
      </w:r>
      <w:r w:rsidR="00D20E88" w:rsidRPr="00BF4E01">
        <w:t>es necesario</w:t>
      </w:r>
      <w:r w:rsidR="009871EF">
        <w:t xml:space="preserve"> que</w:t>
      </w:r>
      <w:r w:rsidR="00D20E88" w:rsidRPr="00BF4E01">
        <w:t>:</w:t>
      </w:r>
    </w:p>
    <w:p w:rsidR="005D1428" w:rsidRDefault="005D1428" w:rsidP="00545C9C">
      <w:pPr>
        <w:jc w:val="both"/>
      </w:pPr>
      <w:r>
        <w:t>1.</w:t>
      </w:r>
      <w:r>
        <w:tab/>
        <w:t xml:space="preserve">Se identifique la plataforma jurídica del </w:t>
      </w:r>
      <w:r w:rsidRPr="005D1428">
        <w:rPr>
          <w:smallCaps/>
        </w:rPr>
        <w:t>ctcp</w:t>
      </w:r>
      <w:r>
        <w:t xml:space="preserve">. Esa plataforma supone la compilación de todas las normas aplicables al </w:t>
      </w:r>
      <w:r w:rsidR="009871EF" w:rsidRPr="009871EF">
        <w:rPr>
          <w:smallCaps/>
        </w:rPr>
        <w:t>ctcp</w:t>
      </w:r>
      <w:r>
        <w:t xml:space="preserve">, así como el desarrollo de un “debido proceso” que gobierne la elaboración de las propuestas de normalización y la modificación del actual reglamento interno del </w:t>
      </w:r>
      <w:r w:rsidR="009871EF" w:rsidRPr="009871EF">
        <w:rPr>
          <w:smallCaps/>
        </w:rPr>
        <w:t>ctcp</w:t>
      </w:r>
      <w:r w:rsidR="00E01200">
        <w:rPr>
          <w:smallCaps/>
        </w:rPr>
        <w:t xml:space="preserve"> </w:t>
      </w:r>
      <w:r>
        <w:t>para adaptarlo a lo previsto en la Ley 1314 de 2009. Véase:</w:t>
      </w:r>
      <w:hyperlink r:id="rId13" w:history="1">
        <w:r w:rsidRPr="00225A0A">
          <w:rPr>
            <w:rStyle w:val="Hipervnculo"/>
          </w:rPr>
          <w:t>http://www.jccconta.gov.co/consejot/documen/resolucion001_reglamento_ctcp.pdf</w:t>
        </w:r>
      </w:hyperlink>
      <w:r>
        <w:t>. Entre otras cosas</w:t>
      </w:r>
      <w:r w:rsidR="002A1275">
        <w:t xml:space="preserve"> y en el entendido que el artículo 1° del Decreto 691 de 2010</w:t>
      </w:r>
      <w:r w:rsidR="00197D06">
        <w:rPr>
          <w:rStyle w:val="Refdenotaalpie"/>
        </w:rPr>
        <w:footnoteReference w:id="16"/>
      </w:r>
      <w:r w:rsidR="002A1275">
        <w:t xml:space="preserve"> no es suficiente</w:t>
      </w:r>
      <w:r>
        <w:t xml:space="preserve">, esta </w:t>
      </w:r>
      <w:r>
        <w:lastRenderedPageBreak/>
        <w:t>actividad debería permitir definir con cert</w:t>
      </w:r>
      <w:r w:rsidR="009871EF">
        <w:t xml:space="preserve">eza la naturaleza jurídica del </w:t>
      </w:r>
      <w:r w:rsidR="009871EF" w:rsidRPr="009871EF">
        <w:rPr>
          <w:smallCaps/>
        </w:rPr>
        <w:t>ctcp</w:t>
      </w:r>
      <w:r w:rsidR="009871EF">
        <w:t>, a la luz de los tipos establecidos en la Ley 489 de 1998</w:t>
      </w:r>
      <w:r w:rsidR="002A1275">
        <w:rPr>
          <w:rStyle w:val="Refdenotaalpie"/>
        </w:rPr>
        <w:footnoteReference w:id="17"/>
      </w:r>
      <w:r w:rsidR="002A1275">
        <w:t xml:space="preserve">. </w:t>
      </w:r>
    </w:p>
    <w:p w:rsidR="005D1428" w:rsidRDefault="005D1428" w:rsidP="00545C9C">
      <w:pPr>
        <w:jc w:val="both"/>
      </w:pPr>
      <w:r>
        <w:t>2.</w:t>
      </w:r>
      <w:r>
        <w:tab/>
        <w:t xml:space="preserve">Se defina la planta de personal asignada al </w:t>
      </w:r>
      <w:r w:rsidR="009871EF" w:rsidRPr="00197D06">
        <w:rPr>
          <w:smallCaps/>
        </w:rPr>
        <w:t>ctcp</w:t>
      </w:r>
      <w:r>
        <w:t xml:space="preserve">, se adopten los manuales correspondientes y se vincule el respectivo personal. </w:t>
      </w:r>
      <w:r w:rsidR="00197D06">
        <w:t>Colateralmente se deben r</w:t>
      </w:r>
      <w:r>
        <w:t xml:space="preserve">ealizar convenios con otras entidades públicas o privadas para el suministro de </w:t>
      </w:r>
      <w:r w:rsidR="00197D06">
        <w:t xml:space="preserve">otro </w:t>
      </w:r>
      <w:r>
        <w:t>personal de apoyo</w:t>
      </w:r>
      <w:r w:rsidR="00197D06">
        <w:t>.</w:t>
      </w:r>
    </w:p>
    <w:p w:rsidR="005D1428" w:rsidRDefault="005D1428" w:rsidP="00545C9C">
      <w:pPr>
        <w:jc w:val="both"/>
      </w:pPr>
      <w:r>
        <w:t>3.</w:t>
      </w:r>
      <w:r>
        <w:tab/>
        <w:t xml:space="preserve">Se defina, habilite y dote la infraestructura física en que funcionará el </w:t>
      </w:r>
      <w:r w:rsidR="00197D06" w:rsidRPr="00197D06">
        <w:rPr>
          <w:smallCaps/>
        </w:rPr>
        <w:t>ctcp</w:t>
      </w:r>
      <w:r>
        <w:t>, de manera que sea funcional y saludable.</w:t>
      </w:r>
    </w:p>
    <w:p w:rsidR="005D1428" w:rsidRDefault="005D1428" w:rsidP="00545C9C">
      <w:pPr>
        <w:jc w:val="both"/>
      </w:pPr>
      <w:r>
        <w:t>4.</w:t>
      </w:r>
      <w:r>
        <w:tab/>
        <w:t>Se defina e implemente la plataforma tecnológica a través de la cual se producirá la interacción con todos los actores de los procesos de normalización y socialización. Esta plataforma deberá estar concebi</w:t>
      </w:r>
      <w:r w:rsidR="00860CCC">
        <w:t xml:space="preserve">da para apoyar la adopción del </w:t>
      </w:r>
      <w:r w:rsidR="00860CCC" w:rsidRPr="00860CCC">
        <w:rPr>
          <w:smallCaps/>
        </w:rPr>
        <w:t>x</w:t>
      </w:r>
      <w:r w:rsidRPr="00860CCC">
        <w:rPr>
          <w:smallCaps/>
        </w:rPr>
        <w:t>brl</w:t>
      </w:r>
      <w:r>
        <w:t>.</w:t>
      </w:r>
    </w:p>
    <w:p w:rsidR="005D1428" w:rsidRDefault="005D1428" w:rsidP="00545C9C">
      <w:pPr>
        <w:jc w:val="both"/>
      </w:pPr>
      <w:r>
        <w:t>5.</w:t>
      </w:r>
      <w:r>
        <w:tab/>
        <w:t>Se definan y adquieran</w:t>
      </w:r>
      <w:r w:rsidR="00B27840">
        <w:t>,</w:t>
      </w:r>
      <w:r>
        <w:t xml:space="preserve"> o licencien</w:t>
      </w:r>
      <w:r w:rsidR="00B27840">
        <w:t>,</w:t>
      </w:r>
      <w:r>
        <w:t xml:space="preserve"> las bases de datos, bibliotecas y demás fuentes de literatura técnica pertinentes para adelantar </w:t>
      </w:r>
      <w:r w:rsidR="00B27840">
        <w:t>con suficiente información</w:t>
      </w:r>
      <w:r>
        <w:t xml:space="preserve"> las acciones de normalización y socialización.</w:t>
      </w:r>
    </w:p>
    <w:p w:rsidR="005D1428" w:rsidRDefault="005D1428" w:rsidP="00545C9C">
      <w:pPr>
        <w:jc w:val="both"/>
      </w:pPr>
      <w:r>
        <w:t>6.</w:t>
      </w:r>
      <w:r>
        <w:tab/>
        <w:t>Se adopten y pongan en funcionamiento todas las acciones para garantizar</w:t>
      </w:r>
      <w:r w:rsidR="00B27840">
        <w:t xml:space="preserve"> una correcta y eficaz gestión i</w:t>
      </w:r>
      <w:r>
        <w:t xml:space="preserve">nstitucional, las que, entre otras cosas, </w:t>
      </w:r>
      <w:r w:rsidR="00B27840">
        <w:t>deberían</w:t>
      </w:r>
      <w:r>
        <w:t xml:space="preserve"> comprender los sistemas de gestión de calidad y de control interno y las políticas de racionalización de trámites. </w:t>
      </w:r>
    </w:p>
    <w:p w:rsidR="005D1428" w:rsidRDefault="005D1428" w:rsidP="00545C9C">
      <w:pPr>
        <w:jc w:val="both"/>
      </w:pPr>
      <w:r>
        <w:t>7.</w:t>
      </w:r>
      <w:r>
        <w:tab/>
        <w:t xml:space="preserve">Se definan los mecanismos de interacción con las autoridades reguladoras (artículo 6 y 7), especialmente los canales y procedimientos regulares de comunicación y se defina la forma de proceder respecto de los asuntos relacionados con la elaboración, administración y ejecución del presupuesto asignado al </w:t>
      </w:r>
      <w:r w:rsidR="00860CCC" w:rsidRPr="00860CCC">
        <w:rPr>
          <w:smallCaps/>
        </w:rPr>
        <w:t>ctcp</w:t>
      </w:r>
      <w:r>
        <w:t>.</w:t>
      </w:r>
      <w:r w:rsidR="008461F7">
        <w:t xml:space="preserve"> Las recientes manifestaciones del </w:t>
      </w:r>
      <w:r w:rsidR="008461F7" w:rsidRPr="008461F7">
        <w:rPr>
          <w:smallCaps/>
        </w:rPr>
        <w:t>conpes</w:t>
      </w:r>
      <w:r w:rsidR="008461F7">
        <w:rPr>
          <w:rStyle w:val="Refdenotaalpie"/>
          <w:smallCaps/>
        </w:rPr>
        <w:footnoteReference w:id="18"/>
      </w:r>
      <w:r w:rsidR="008461F7" w:rsidRPr="008461F7">
        <w:t>han</w:t>
      </w:r>
      <w:r w:rsidR="008461F7">
        <w:t xml:space="preserve"> generado muchos interrogantes sobre la autonomía técnica del </w:t>
      </w:r>
      <w:r w:rsidR="008461F7" w:rsidRPr="00272D86">
        <w:rPr>
          <w:smallCaps/>
        </w:rPr>
        <w:t>ctcp</w:t>
      </w:r>
      <w:r w:rsidR="008461F7">
        <w:t xml:space="preserve"> frente a la actividad de reglamentación del Gobierno</w:t>
      </w:r>
      <w:r w:rsidR="00272D86">
        <w:rPr>
          <w:rStyle w:val="Refdenotaalpie"/>
        </w:rPr>
        <w:footnoteReference w:id="19"/>
      </w:r>
      <w:r w:rsidR="008461F7">
        <w:t>.</w:t>
      </w:r>
    </w:p>
    <w:p w:rsidR="005D1428" w:rsidRDefault="005D1428" w:rsidP="00545C9C">
      <w:pPr>
        <w:jc w:val="both"/>
      </w:pPr>
      <w:r>
        <w:t>8.</w:t>
      </w:r>
      <w:r>
        <w:tab/>
        <w:t xml:space="preserve">Se reglamente el deber de coordinación de las entidades públicas (artículo 12), coordinación cuya eficacia y eficiencia es indispensable para el éxito de la regulación que habrán de expedir los Ministerios de Comercio, Industria y Turismo y de Hacienda y Crédito Público. </w:t>
      </w:r>
    </w:p>
    <w:p w:rsidR="005D1428" w:rsidRDefault="005D1428" w:rsidP="00545C9C">
      <w:pPr>
        <w:jc w:val="both"/>
      </w:pPr>
      <w:r>
        <w:lastRenderedPageBreak/>
        <w:t>9.</w:t>
      </w:r>
      <w:r>
        <w:tab/>
        <w:t>Se definan los criterios de relacionamiento e interacción con las autoridades de supervisión (artículo 10)</w:t>
      </w:r>
    </w:p>
    <w:p w:rsidR="005D1428" w:rsidRDefault="005D1428" w:rsidP="00545C9C">
      <w:pPr>
        <w:jc w:val="both"/>
      </w:pPr>
      <w:r>
        <w:t>10.</w:t>
      </w:r>
      <w:r>
        <w:tab/>
        <w:t>Se definan los criterios de relacionamiento e interacción con la autoridad disciplinaria (artículo 9)</w:t>
      </w:r>
    </w:p>
    <w:p w:rsidR="005D1428" w:rsidRDefault="005D1428" w:rsidP="00545C9C">
      <w:pPr>
        <w:jc w:val="both"/>
      </w:pPr>
      <w:r>
        <w:t>11.</w:t>
      </w:r>
      <w:r>
        <w:tab/>
        <w:t>Se establezcan relaciones de cooperación con los principales actores de los procesos de normalización, entre los que se encuentran autoridades, preparadores, aseguradores y usuarios de la información financiera (artículo 8). Entre otras cosas habrá que poner los fundamentos para la organización de comités técnicos y para la intervención de expertos. Al efecto deberán tenerse en cuenta modelos exitosos como el de EFRAG</w:t>
      </w:r>
      <w:r w:rsidR="003160D4">
        <w:rPr>
          <w:rStyle w:val="Refdenotaalpie"/>
        </w:rPr>
        <w:footnoteReference w:id="20"/>
      </w:r>
      <w:r>
        <w:t xml:space="preserve">. En principio se </w:t>
      </w:r>
      <w:r w:rsidR="00860CCC">
        <w:t xml:space="preserve">debería </w:t>
      </w:r>
      <w:r>
        <w:t xml:space="preserve">procurar organizar comités técnicos atendiendo los sectores con planes de cuentas específicos y </w:t>
      </w:r>
      <w:r w:rsidR="0047046A">
        <w:t xml:space="preserve">a </w:t>
      </w:r>
      <w:r>
        <w:t>las entidades sometidas a especiales obligaciones de suministro de información financiera.</w:t>
      </w:r>
    </w:p>
    <w:p w:rsidR="005D1428" w:rsidRDefault="005D1428" w:rsidP="00545C9C">
      <w:pPr>
        <w:jc w:val="both"/>
      </w:pPr>
      <w:r>
        <w:t>12.</w:t>
      </w:r>
      <w:r>
        <w:tab/>
        <w:t xml:space="preserve">Se sienten las bases para </w:t>
      </w:r>
      <w:r w:rsidR="0047046A">
        <w:t xml:space="preserve">promover </w:t>
      </w:r>
      <w:r>
        <w:t>las acciones de socialización previstas en el numeral 12 del artículo 8°.</w:t>
      </w:r>
    </w:p>
    <w:p w:rsidR="005D1428" w:rsidRDefault="005D1428" w:rsidP="00545C9C">
      <w:pPr>
        <w:jc w:val="both"/>
      </w:pPr>
      <w:r>
        <w:t>13.</w:t>
      </w:r>
      <w:r>
        <w:tab/>
        <w:t>Se establezcan oficialmente relaciones de cooperación y asesoramiento con IASB y con IAASB.</w:t>
      </w:r>
    </w:p>
    <w:p w:rsidR="005D1428" w:rsidRDefault="005D1428" w:rsidP="00545C9C">
      <w:pPr>
        <w:jc w:val="both"/>
      </w:pPr>
      <w:r>
        <w:t>14.</w:t>
      </w:r>
      <w:r>
        <w:tab/>
        <w:t>Se obtenga el derecho y se defina la forma como todos los sometidos a la Ley 1314 de 2009 podrán consultar en su integridad los estándares emitidos por IASB y por IAASB.</w:t>
      </w:r>
    </w:p>
    <w:p w:rsidR="005D1428" w:rsidRDefault="005D1428" w:rsidP="00545C9C">
      <w:pPr>
        <w:jc w:val="both"/>
      </w:pPr>
      <w:r>
        <w:t>15.</w:t>
      </w:r>
      <w:r>
        <w:tab/>
        <w:t>Se definan los grupos, estratos o niveles en que se dividirán los obligados a aplicar la regulación (artículos 2 y 8)</w:t>
      </w:r>
    </w:p>
    <w:p w:rsidR="005D1428" w:rsidRDefault="005D1428" w:rsidP="00545C9C">
      <w:pPr>
        <w:jc w:val="both"/>
      </w:pPr>
      <w:r>
        <w:t>16.</w:t>
      </w:r>
      <w:r>
        <w:tab/>
        <w:t xml:space="preserve">A través de las entidades de supervisión, </w:t>
      </w:r>
      <w:r w:rsidR="0047046A">
        <w:t xml:space="preserve">se </w:t>
      </w:r>
      <w:r>
        <w:t>reali</w:t>
      </w:r>
      <w:r w:rsidR="0047046A">
        <w:t>cen</w:t>
      </w:r>
      <w:r>
        <w:t xml:space="preserve"> acciones de diagnóstico sobre el estado actual de los sistemas de información y de aseguramiento, para determinar los factores a favor y en contra para adelantar procesos de convergencia.</w:t>
      </w:r>
    </w:p>
    <w:p w:rsidR="00B70C37" w:rsidRDefault="00B70C37" w:rsidP="00545C9C">
      <w:pPr>
        <w:pStyle w:val="Ttulo3"/>
        <w:jc w:val="both"/>
      </w:pPr>
      <w:bookmarkStart w:id="5" w:name="_Toc267647503"/>
      <w:r>
        <w:t>Debido proceso</w:t>
      </w:r>
      <w:bookmarkEnd w:id="5"/>
    </w:p>
    <w:p w:rsidR="00B70C37" w:rsidRPr="00B70C37" w:rsidRDefault="00B70C37" w:rsidP="00545C9C">
      <w:pPr>
        <w:jc w:val="both"/>
      </w:pPr>
    </w:p>
    <w:p w:rsidR="00D16F24" w:rsidRDefault="009E3E5B" w:rsidP="00545C9C">
      <w:pPr>
        <w:jc w:val="both"/>
      </w:pPr>
      <w:r>
        <w:t xml:space="preserve">Uno de las asuntos más </w:t>
      </w:r>
      <w:r w:rsidR="00D16F24">
        <w:t>desarrollados</w:t>
      </w:r>
      <w:r w:rsidR="0042509A">
        <w:t xml:space="preserve"> </w:t>
      </w:r>
      <w:r w:rsidR="0065454C">
        <w:t>por</w:t>
      </w:r>
      <w:r>
        <w:t xml:space="preserve"> la ley 1314 de 2009 </w:t>
      </w:r>
      <w:r w:rsidR="00D16F24">
        <w:t>es</w:t>
      </w:r>
      <w:r>
        <w:t xml:space="preserve"> el establecimiento </w:t>
      </w:r>
      <w:r w:rsidR="00D16F24">
        <w:t>de los principios de un debido proceso</w:t>
      </w:r>
      <w:r w:rsidR="0065454C">
        <w:t xml:space="preserve"> (al que se refiere el numeral 1 precedente)</w:t>
      </w:r>
      <w:r w:rsidR="00D16F24">
        <w:t>, cuya observancia garantiza tanto la calidad técnica como la legitimidad política de las normas que se expidan en desarrollo de los instrumentos de intervención económica</w:t>
      </w:r>
      <w:r w:rsidR="007A5397">
        <w:t xml:space="preserve">, razón por la cual su adopción por parte del </w:t>
      </w:r>
      <w:r w:rsidR="007A5397" w:rsidRPr="007A5397">
        <w:rPr>
          <w:smallCaps/>
        </w:rPr>
        <w:t>ctcp</w:t>
      </w:r>
      <w:r w:rsidR="007A5397">
        <w:t xml:space="preserve"> es prioritaria</w:t>
      </w:r>
      <w:r w:rsidR="00D16F24">
        <w:t xml:space="preserve">. Es así como </w:t>
      </w:r>
      <w:r w:rsidR="0065454C">
        <w:t>l</w:t>
      </w:r>
      <w:r w:rsidR="00D16F24" w:rsidRPr="0065454C">
        <w:t xml:space="preserve">os procesos de intervención en la economía mediante la </w:t>
      </w:r>
      <w:r w:rsidR="00D16F24" w:rsidRPr="0065454C">
        <w:lastRenderedPageBreak/>
        <w:t>expedición de normas contables, de información financiera y de aseguramiento de la información</w:t>
      </w:r>
      <w:r w:rsidR="00D16F24" w:rsidRPr="00592F85">
        <w:rPr>
          <w:vertAlign w:val="superscript"/>
        </w:rPr>
        <w:footnoteReference w:id="21"/>
      </w:r>
      <w:r w:rsidR="00D16F24" w:rsidRPr="0065454C">
        <w:t>, deberán ser abiertos</w:t>
      </w:r>
      <w:r w:rsidR="00D16F24" w:rsidRPr="00592F85">
        <w:rPr>
          <w:vertAlign w:val="superscript"/>
        </w:rPr>
        <w:footnoteReference w:id="22"/>
      </w:r>
      <w:r w:rsidR="00D16F24" w:rsidRPr="0065454C">
        <w:t>, transparentes</w:t>
      </w:r>
      <w:r w:rsidR="00D16F24" w:rsidRPr="00592F85">
        <w:rPr>
          <w:vertAlign w:val="superscript"/>
        </w:rPr>
        <w:footnoteReference w:id="23"/>
      </w:r>
      <w:r w:rsidR="00D16F24" w:rsidRPr="0065454C">
        <w:t>, de público conocimiento</w:t>
      </w:r>
      <w:r w:rsidR="00D16F24" w:rsidRPr="007A5976">
        <w:rPr>
          <w:vertAlign w:val="superscript"/>
        </w:rPr>
        <w:footnoteReference w:id="24"/>
      </w:r>
      <w:r w:rsidR="00D16F24" w:rsidRPr="0065454C">
        <w:t>, acordes con las mejores prácticas</w:t>
      </w:r>
      <w:r w:rsidR="00D16F24" w:rsidRPr="007A5976">
        <w:rPr>
          <w:vertAlign w:val="superscript"/>
        </w:rPr>
        <w:footnoteReference w:id="25"/>
      </w:r>
      <w:r w:rsidR="00D16F24" w:rsidRPr="0065454C">
        <w:t>, ágiles</w:t>
      </w:r>
      <w:r w:rsidR="00D16F24" w:rsidRPr="007A5976">
        <w:rPr>
          <w:vertAlign w:val="superscript"/>
        </w:rPr>
        <w:footnoteReference w:id="26"/>
      </w:r>
      <w:r w:rsidR="00D16F24" w:rsidRPr="0065454C">
        <w:t>, desarrollados en tiempos razonables</w:t>
      </w:r>
      <w:r w:rsidR="00D16F24" w:rsidRPr="007A5976">
        <w:rPr>
          <w:vertAlign w:val="superscript"/>
        </w:rPr>
        <w:footnoteReference w:id="27"/>
      </w:r>
      <w:r w:rsidR="00D16F24" w:rsidRPr="0065454C">
        <w:t>, flexibles</w:t>
      </w:r>
      <w:r w:rsidR="00D16F24" w:rsidRPr="007A5976">
        <w:rPr>
          <w:vertAlign w:val="superscript"/>
        </w:rPr>
        <w:footnoteReference w:id="28"/>
      </w:r>
      <w:r w:rsidR="00D16F24" w:rsidRPr="0065454C">
        <w:t>, evitarán duplicar el trabajo efectuado por otras autoridades de normalización</w:t>
      </w:r>
      <w:r w:rsidR="00D16F24" w:rsidRPr="007A5976">
        <w:rPr>
          <w:vertAlign w:val="superscript"/>
        </w:rPr>
        <w:footnoteReference w:id="29"/>
      </w:r>
      <w:r w:rsidR="00D16F24" w:rsidRPr="0065454C">
        <w:t>, ponderarán los costos y los beneficios</w:t>
      </w:r>
      <w:r w:rsidR="00D16F24" w:rsidRPr="007A5976">
        <w:rPr>
          <w:vertAlign w:val="superscript"/>
        </w:rPr>
        <w:footnoteReference w:id="30"/>
      </w:r>
      <w:r w:rsidR="00D16F24" w:rsidRPr="0065454C">
        <w:t>, procurarán las menores cargas posibles</w:t>
      </w:r>
      <w:r w:rsidR="00D16F24" w:rsidRPr="007A5976">
        <w:rPr>
          <w:vertAlign w:val="superscript"/>
        </w:rPr>
        <w:footnoteReference w:id="31"/>
      </w:r>
      <w:r w:rsidR="00D16F24" w:rsidRPr="0065454C">
        <w:t xml:space="preserve"> y se someterán a los demás criterios que determine el Gobierno para garantizar buenas prácticas y debido proceso.</w:t>
      </w:r>
      <w:r w:rsidR="00D16F24" w:rsidRPr="007A5976">
        <w:rPr>
          <w:vertAlign w:val="superscript"/>
        </w:rPr>
        <w:footnoteReference w:id="32"/>
      </w:r>
    </w:p>
    <w:p w:rsidR="0065454C" w:rsidRDefault="0065454C" w:rsidP="00545C9C">
      <w:pPr>
        <w:jc w:val="both"/>
      </w:pPr>
      <w:r>
        <w:t>Las etapas básicas de un debido proceso podrían ser las siguientes:</w:t>
      </w:r>
    </w:p>
    <w:p w:rsidR="001607EF" w:rsidRDefault="001607EF" w:rsidP="00545C9C">
      <w:pPr>
        <w:pStyle w:val="Prrafodelista"/>
        <w:numPr>
          <w:ilvl w:val="0"/>
          <w:numId w:val="24"/>
        </w:numPr>
        <w:jc w:val="both"/>
      </w:pPr>
      <w:r>
        <w:t>Propuesta, al menos cada 6 meses, del Consejo Técnico de la Contaduría Pública sobre el plan de trabajo a desarrollar.</w:t>
      </w:r>
      <w:r>
        <w:rPr>
          <w:rStyle w:val="Refdenotaalpie"/>
          <w:rFonts w:ascii="Arial" w:hAnsi="Arial" w:cs="Arial"/>
        </w:rPr>
        <w:footnoteReference w:id="33"/>
      </w:r>
    </w:p>
    <w:p w:rsidR="001607EF" w:rsidRDefault="001607EF" w:rsidP="00545C9C">
      <w:pPr>
        <w:pStyle w:val="Prrafodelista"/>
        <w:numPr>
          <w:ilvl w:val="0"/>
          <w:numId w:val="24"/>
        </w:numPr>
        <w:jc w:val="both"/>
      </w:pPr>
      <w:r>
        <w:t>Aprobación y difusión del plan de trabajo.</w:t>
      </w:r>
    </w:p>
    <w:p w:rsidR="001607EF" w:rsidRDefault="001607EF" w:rsidP="00545C9C">
      <w:pPr>
        <w:pStyle w:val="Prrafodelista"/>
        <w:numPr>
          <w:ilvl w:val="0"/>
          <w:numId w:val="24"/>
        </w:numPr>
        <w:jc w:val="both"/>
      </w:pPr>
      <w:r>
        <w:t>Consideración de proyectos y normas internacionales.</w:t>
      </w:r>
      <w:r>
        <w:rPr>
          <w:rStyle w:val="Refdenotaalpie"/>
          <w:rFonts w:ascii="Arial" w:hAnsi="Arial" w:cs="Arial"/>
        </w:rPr>
        <w:footnoteReference w:id="34"/>
      </w:r>
    </w:p>
    <w:p w:rsidR="001607EF" w:rsidRDefault="001607EF" w:rsidP="00545C9C">
      <w:pPr>
        <w:pStyle w:val="Prrafodelista"/>
        <w:numPr>
          <w:ilvl w:val="0"/>
          <w:numId w:val="24"/>
        </w:numPr>
        <w:jc w:val="both"/>
      </w:pPr>
      <w:r>
        <w:t>Consideraciones según los tipos de destinatarios.</w:t>
      </w:r>
      <w:r>
        <w:rPr>
          <w:rStyle w:val="Refdenotaalpie"/>
          <w:rFonts w:ascii="Arial" w:hAnsi="Arial" w:cs="Arial"/>
        </w:rPr>
        <w:footnoteReference w:id="35"/>
      </w:r>
    </w:p>
    <w:p w:rsidR="001607EF" w:rsidRDefault="001607EF" w:rsidP="00545C9C">
      <w:pPr>
        <w:pStyle w:val="Prrafodelista"/>
        <w:numPr>
          <w:ilvl w:val="0"/>
          <w:numId w:val="24"/>
        </w:numPr>
        <w:jc w:val="both"/>
      </w:pPr>
      <w:r>
        <w:lastRenderedPageBreak/>
        <w:t>Elaboración borrador de la norma (parte dispositiva y bases de conclusiones).</w:t>
      </w:r>
    </w:p>
    <w:p w:rsidR="001607EF" w:rsidRDefault="001607EF" w:rsidP="00545C9C">
      <w:pPr>
        <w:pStyle w:val="Prrafodelista"/>
        <w:numPr>
          <w:ilvl w:val="0"/>
          <w:numId w:val="24"/>
        </w:numPr>
        <w:jc w:val="both"/>
      </w:pPr>
      <w:r>
        <w:t>Publicación del borrador.</w:t>
      </w:r>
      <w:r>
        <w:rPr>
          <w:rStyle w:val="Refdenotaalpie"/>
          <w:rFonts w:ascii="Arial" w:hAnsi="Arial" w:cs="Arial"/>
        </w:rPr>
        <w:footnoteReference w:id="36"/>
      </w:r>
      <w:r w:rsidR="005E3C6F">
        <w:t xml:space="preserve"> Y solicitud de comentarios, con énfasis en la identificación del impacto de la norma y de los conflictos que causaría su aplicación.</w:t>
      </w:r>
    </w:p>
    <w:p w:rsidR="001607EF" w:rsidRDefault="001607EF" w:rsidP="00545C9C">
      <w:pPr>
        <w:pStyle w:val="Prrafodelista"/>
        <w:numPr>
          <w:ilvl w:val="0"/>
          <w:numId w:val="24"/>
        </w:numPr>
        <w:jc w:val="both"/>
      </w:pPr>
      <w:r>
        <w:t>Consideración de las recomendaciones durante el lapso de exposición pública para comentarios.</w:t>
      </w:r>
      <w:r>
        <w:rPr>
          <w:rStyle w:val="Refdenotaalpie"/>
          <w:rFonts w:ascii="Arial" w:hAnsi="Arial" w:cs="Arial"/>
        </w:rPr>
        <w:footnoteReference w:id="37"/>
      </w:r>
    </w:p>
    <w:p w:rsidR="001607EF" w:rsidRDefault="001607EF" w:rsidP="00545C9C">
      <w:pPr>
        <w:pStyle w:val="Prrafodelista"/>
        <w:numPr>
          <w:ilvl w:val="0"/>
          <w:numId w:val="24"/>
        </w:numPr>
        <w:jc w:val="both"/>
      </w:pPr>
      <w:r>
        <w:t>Búsqueda de consensos.</w:t>
      </w:r>
      <w:r>
        <w:rPr>
          <w:rStyle w:val="Refdenotaalpie"/>
          <w:rFonts w:ascii="Arial" w:hAnsi="Arial" w:cs="Arial"/>
        </w:rPr>
        <w:footnoteReference w:id="38"/>
      </w:r>
    </w:p>
    <w:p w:rsidR="001607EF" w:rsidRDefault="001607EF" w:rsidP="00545C9C">
      <w:pPr>
        <w:pStyle w:val="Prrafodelista"/>
        <w:numPr>
          <w:ilvl w:val="0"/>
          <w:numId w:val="24"/>
        </w:numPr>
        <w:jc w:val="both"/>
      </w:pPr>
      <w:r>
        <w:t>Elaboración de proyectos definitivos.</w:t>
      </w:r>
    </w:p>
    <w:p w:rsidR="001607EF" w:rsidRDefault="001607EF" w:rsidP="00545C9C">
      <w:pPr>
        <w:pStyle w:val="Prrafodelista"/>
        <w:numPr>
          <w:ilvl w:val="0"/>
          <w:numId w:val="24"/>
        </w:numPr>
        <w:jc w:val="both"/>
      </w:pPr>
      <w:r>
        <w:t>Publicación de los proyectos.</w:t>
      </w:r>
      <w:r>
        <w:rPr>
          <w:rStyle w:val="Refdenotaalpie"/>
          <w:rFonts w:ascii="Arial" w:hAnsi="Arial" w:cs="Arial"/>
        </w:rPr>
        <w:footnoteReference w:id="39"/>
      </w:r>
    </w:p>
    <w:p w:rsidR="001607EF" w:rsidRDefault="001607EF" w:rsidP="00545C9C">
      <w:pPr>
        <w:pStyle w:val="Prrafodelista"/>
        <w:numPr>
          <w:ilvl w:val="0"/>
          <w:numId w:val="24"/>
        </w:numPr>
        <w:jc w:val="both"/>
      </w:pPr>
      <w:r>
        <w:t>Traslado de los proyectos y de las recomendaciones a las autoridades de regulación.</w:t>
      </w:r>
      <w:r>
        <w:rPr>
          <w:rStyle w:val="Refdenotaalpie"/>
          <w:rFonts w:ascii="Arial" w:hAnsi="Arial" w:cs="Arial"/>
        </w:rPr>
        <w:footnoteReference w:id="40"/>
      </w:r>
    </w:p>
    <w:p w:rsidR="001607EF" w:rsidRDefault="001607EF" w:rsidP="00545C9C">
      <w:pPr>
        <w:pStyle w:val="Prrafodelista"/>
        <w:numPr>
          <w:ilvl w:val="0"/>
          <w:numId w:val="24"/>
        </w:numPr>
        <w:jc w:val="both"/>
      </w:pPr>
      <w:r>
        <w:t>Verificación de que el proceso de elaboración de los proyectos por parte del Consejo Técnico de la Contaduría Pública haya sido abierto, transparente y de público conocimiento.</w:t>
      </w:r>
      <w:r>
        <w:rPr>
          <w:rStyle w:val="Refdenotaalpie"/>
          <w:rFonts w:ascii="Arial" w:hAnsi="Arial" w:cs="Arial"/>
        </w:rPr>
        <w:footnoteReference w:id="41"/>
      </w:r>
    </w:p>
    <w:p w:rsidR="001607EF" w:rsidRDefault="001607EF" w:rsidP="00545C9C">
      <w:pPr>
        <w:pStyle w:val="Prrafodelista"/>
        <w:numPr>
          <w:ilvl w:val="0"/>
          <w:numId w:val="24"/>
        </w:numPr>
        <w:jc w:val="both"/>
      </w:pPr>
      <w:r>
        <w:t>Consideración de las observaciones del público.</w:t>
      </w:r>
      <w:r>
        <w:rPr>
          <w:rStyle w:val="Refdenotaalpie"/>
          <w:rFonts w:ascii="Arial" w:hAnsi="Arial" w:cs="Arial"/>
        </w:rPr>
        <w:footnoteReference w:id="42"/>
      </w:r>
    </w:p>
    <w:p w:rsidR="001607EF" w:rsidRDefault="001607EF" w:rsidP="00545C9C">
      <w:pPr>
        <w:pStyle w:val="Prrafodelista"/>
        <w:numPr>
          <w:ilvl w:val="0"/>
          <w:numId w:val="24"/>
        </w:numPr>
        <w:jc w:val="both"/>
      </w:pPr>
      <w:r>
        <w:t>Consideración de los análisis del CTCP sobre las observaciones del público.</w:t>
      </w:r>
      <w:r>
        <w:rPr>
          <w:rStyle w:val="Refdenotaalpie"/>
          <w:rFonts w:ascii="Arial" w:hAnsi="Arial" w:cs="Arial"/>
        </w:rPr>
        <w:footnoteReference w:id="43"/>
      </w:r>
    </w:p>
    <w:p w:rsidR="001607EF" w:rsidRDefault="001607EF" w:rsidP="00545C9C">
      <w:pPr>
        <w:pStyle w:val="Prrafodelista"/>
        <w:numPr>
          <w:ilvl w:val="0"/>
          <w:numId w:val="24"/>
        </w:numPr>
        <w:jc w:val="both"/>
      </w:pPr>
      <w:r>
        <w:t>Elaboración del texto definitivo.</w:t>
      </w:r>
      <w:r>
        <w:rPr>
          <w:rStyle w:val="Refdenotaalpie"/>
          <w:rFonts w:ascii="Arial" w:hAnsi="Arial" w:cs="Arial"/>
        </w:rPr>
        <w:footnoteReference w:id="44"/>
      </w:r>
    </w:p>
    <w:p w:rsidR="001607EF" w:rsidRDefault="001607EF" w:rsidP="00545C9C">
      <w:pPr>
        <w:pStyle w:val="Prrafodelista"/>
        <w:numPr>
          <w:ilvl w:val="0"/>
          <w:numId w:val="24"/>
        </w:numPr>
        <w:jc w:val="both"/>
      </w:pPr>
      <w:r>
        <w:t>Publicación de las normas, tanto de su parte dispositiva como de las bases de sus conclusiones.</w:t>
      </w:r>
      <w:r>
        <w:rPr>
          <w:rStyle w:val="Refdenotaalpie"/>
          <w:rFonts w:ascii="Arial" w:hAnsi="Arial" w:cs="Arial"/>
        </w:rPr>
        <w:footnoteReference w:id="45"/>
      </w:r>
    </w:p>
    <w:p w:rsidR="001607EF" w:rsidRDefault="001607EF" w:rsidP="00545C9C">
      <w:pPr>
        <w:pStyle w:val="Prrafodelista"/>
        <w:numPr>
          <w:ilvl w:val="0"/>
          <w:numId w:val="24"/>
        </w:numPr>
        <w:jc w:val="both"/>
      </w:pPr>
      <w:r>
        <w:t>Vigencia de las normas.</w:t>
      </w:r>
      <w:r>
        <w:rPr>
          <w:rStyle w:val="Refdenotaalpie"/>
          <w:rFonts w:ascii="Arial" w:hAnsi="Arial" w:cs="Arial"/>
        </w:rPr>
        <w:footnoteReference w:id="46"/>
      </w:r>
    </w:p>
    <w:p w:rsidR="001607EF" w:rsidRDefault="001607EF" w:rsidP="00545C9C">
      <w:pPr>
        <w:jc w:val="both"/>
      </w:pPr>
      <w:r>
        <w:lastRenderedPageBreak/>
        <w:t xml:space="preserve">Cuando el </w:t>
      </w:r>
      <w:r w:rsidR="0085589B" w:rsidRPr="0085589B">
        <w:rPr>
          <w:smallCaps/>
        </w:rPr>
        <w:t>ctcp</w:t>
      </w:r>
      <w:r>
        <w:t xml:space="preserve"> lo juzgue conveniente, antes de la preparación de un borrador, </w:t>
      </w:r>
      <w:r w:rsidR="00624016">
        <w:t>debería</w:t>
      </w:r>
      <w:r>
        <w:t xml:space="preserve"> preparar y someter a comentarios del público documentos en los cuales presente una visión de conjunto de un asunto, plantee las posibles alternativas de tratamiento que existen en la literatura técnica y proponga una posible elección entre ellas.</w:t>
      </w:r>
      <w:r>
        <w:rPr>
          <w:rStyle w:val="Refdenotaalpie"/>
          <w:rFonts w:ascii="Arial" w:hAnsi="Arial" w:cs="Arial"/>
        </w:rPr>
        <w:footnoteReference w:id="47"/>
      </w:r>
      <w:r w:rsidR="0085589B">
        <w:t xml:space="preserve"> Así mismo el </w:t>
      </w:r>
      <w:r w:rsidR="0085589B" w:rsidRPr="0085589B">
        <w:rPr>
          <w:smallCaps/>
        </w:rPr>
        <w:t>ctcp</w:t>
      </w:r>
      <w:r w:rsidR="0085589B">
        <w:t xml:space="preserve"> debería adelantar simulaciones</w:t>
      </w:r>
      <w:r w:rsidR="00722B97">
        <w:t xml:space="preserve">, </w:t>
      </w:r>
      <w:r w:rsidR="00722B97" w:rsidRPr="00722B97">
        <w:t>pruebas piloto</w:t>
      </w:r>
      <w:r w:rsidR="00722B97">
        <w:t xml:space="preserve"> y otras</w:t>
      </w:r>
      <w:r w:rsidR="00722B97" w:rsidRPr="00722B97">
        <w:t xml:space="preserve"> pruebas de campo</w:t>
      </w:r>
      <w:r w:rsidR="00722B97">
        <w:t xml:space="preserve">, así como </w:t>
      </w:r>
      <w:r w:rsidR="00722B97" w:rsidRPr="00722B97">
        <w:t xml:space="preserve">considerar </w:t>
      </w:r>
      <w:r w:rsidR="00722B97">
        <w:t>los conflictos</w:t>
      </w:r>
      <w:r w:rsidR="00722B97" w:rsidRPr="00722B97">
        <w:t xml:space="preserve"> que pueda generar la aplicación de las normas propuestas con otras regulaciones (comerciales, tributarias, etc</w:t>
      </w:r>
      <w:r w:rsidR="00722B97">
        <w:t>.</w:t>
      </w:r>
      <w:r w:rsidR="00722B97" w:rsidRPr="00722B97">
        <w:t>).</w:t>
      </w:r>
    </w:p>
    <w:p w:rsidR="00757CD5" w:rsidRDefault="00093D7B" w:rsidP="00545C9C">
      <w:pPr>
        <w:jc w:val="both"/>
      </w:pPr>
      <w:r>
        <w:t xml:space="preserve">Tratándose de la estimación de los eventuales impactos de las normas, el plan de los Estados Unidos de América </w:t>
      </w:r>
      <w:r w:rsidR="00757CD5">
        <w:t>contempla varios puntos de atención, a saber:</w:t>
      </w:r>
    </w:p>
    <w:p w:rsidR="00093D7B" w:rsidRDefault="00757CD5" w:rsidP="00757CD5">
      <w:pPr>
        <w:pStyle w:val="Prrafodelista"/>
        <w:numPr>
          <w:ilvl w:val="0"/>
          <w:numId w:val="29"/>
        </w:numPr>
        <w:jc w:val="both"/>
      </w:pPr>
      <w:r>
        <w:t>Sistemas contables, controles y procedimientos</w:t>
      </w:r>
    </w:p>
    <w:p w:rsidR="00757CD5" w:rsidRDefault="00757CD5" w:rsidP="00757CD5">
      <w:pPr>
        <w:pStyle w:val="Prrafodelista"/>
        <w:numPr>
          <w:ilvl w:val="0"/>
          <w:numId w:val="29"/>
        </w:numPr>
        <w:jc w:val="both"/>
      </w:pPr>
      <w:r>
        <w:t>Acuerdos contractuales</w:t>
      </w:r>
    </w:p>
    <w:p w:rsidR="00757CD5" w:rsidRDefault="00757CD5" w:rsidP="00757CD5">
      <w:pPr>
        <w:pStyle w:val="Prrafodelista"/>
        <w:numPr>
          <w:ilvl w:val="0"/>
          <w:numId w:val="29"/>
        </w:numPr>
        <w:jc w:val="both"/>
      </w:pPr>
      <w:r>
        <w:t>Gobierno corporativo</w:t>
      </w:r>
    </w:p>
    <w:p w:rsidR="00757CD5" w:rsidRDefault="00757CD5" w:rsidP="00757CD5">
      <w:pPr>
        <w:pStyle w:val="Prrafodelista"/>
        <w:numPr>
          <w:ilvl w:val="0"/>
          <w:numId w:val="29"/>
        </w:numPr>
        <w:jc w:val="both"/>
      </w:pPr>
      <w:r>
        <w:t>Contabilización de contingencias por litigios</w:t>
      </w:r>
    </w:p>
    <w:p w:rsidR="00757CD5" w:rsidRDefault="001819C4" w:rsidP="00757CD5">
      <w:pPr>
        <w:pStyle w:val="Prrafodelista"/>
        <w:numPr>
          <w:ilvl w:val="0"/>
          <w:numId w:val="29"/>
        </w:numPr>
        <w:jc w:val="both"/>
      </w:pPr>
      <w:r>
        <w:t>Pequeñas empresas versus grandes empresas</w:t>
      </w:r>
    </w:p>
    <w:p w:rsidR="001819C4" w:rsidRDefault="001819C4" w:rsidP="001819C4">
      <w:pPr>
        <w:jc w:val="both"/>
      </w:pPr>
      <w:r>
        <w:t>En Colombia habrá que evaluar los impactos por sectores de vigilados (sometidos a diferentes planes de cuentas) y las repercusiones  sobre la tributación.</w:t>
      </w:r>
    </w:p>
    <w:p w:rsidR="00B70C37" w:rsidRDefault="00B70C37" w:rsidP="00545C9C">
      <w:pPr>
        <w:pStyle w:val="Ttulo3"/>
        <w:jc w:val="both"/>
      </w:pPr>
      <w:bookmarkStart w:id="6" w:name="_Toc267647504"/>
      <w:r>
        <w:t>Estratificación</w:t>
      </w:r>
      <w:bookmarkEnd w:id="6"/>
    </w:p>
    <w:p w:rsidR="00B70C37" w:rsidRPr="00B70C37" w:rsidRDefault="00B70C37" w:rsidP="00545C9C">
      <w:pPr>
        <w:jc w:val="both"/>
      </w:pPr>
    </w:p>
    <w:p w:rsidR="00761DBB" w:rsidRDefault="0080503B" w:rsidP="00545C9C">
      <w:pPr>
        <w:jc w:val="both"/>
      </w:pPr>
      <w:r>
        <w:t>Tal como se señala en el numeral 15 precedente, e</w:t>
      </w:r>
      <w:r w:rsidR="00761DBB">
        <w:t xml:space="preserve">s necesario </w:t>
      </w:r>
      <w:r>
        <w:t>hacer</w:t>
      </w:r>
      <w:r w:rsidR="00761DBB">
        <w:t xml:space="preserve"> una clasificación de entidades</w:t>
      </w:r>
      <w:r>
        <w:t xml:space="preserve">, en grupos, niveles o estratos, </w:t>
      </w:r>
      <w:r w:rsidR="00761DBB">
        <w:t>que permitan a las entidades</w:t>
      </w:r>
      <w:r w:rsidR="009E1939">
        <w:t xml:space="preserve"> una</w:t>
      </w:r>
      <w:r w:rsidR="00761DBB">
        <w:t xml:space="preserve"> transición </w:t>
      </w:r>
      <w:r>
        <w:t xml:space="preserve">razonable </w:t>
      </w:r>
      <w:r w:rsidR="00761DBB">
        <w:t>a un nuevo modelo de presentación de información financiera y de aseguramiento de la información.</w:t>
      </w:r>
    </w:p>
    <w:p w:rsidR="00761DBB" w:rsidRDefault="00761DBB" w:rsidP="00545C9C">
      <w:pPr>
        <w:jc w:val="both"/>
      </w:pPr>
      <w:r>
        <w:t>De acuerdo con el documento emitido por UNCTAD</w:t>
      </w:r>
      <w:r w:rsidR="00D400AE">
        <w:rPr>
          <w:rStyle w:val="Refdenotaalpie"/>
        </w:rPr>
        <w:footnoteReference w:id="48"/>
      </w:r>
      <w:r>
        <w:t>:</w:t>
      </w:r>
    </w:p>
    <w:p w:rsidR="00761DBB" w:rsidRPr="00E2676E" w:rsidRDefault="00761DBB" w:rsidP="00545C9C">
      <w:pPr>
        <w:ind w:left="708"/>
        <w:jc w:val="both"/>
        <w:rPr>
          <w:i/>
          <w:lang w:val="en-US"/>
        </w:rPr>
      </w:pPr>
      <w:r w:rsidRPr="00E2676E">
        <w:rPr>
          <w:i/>
          <w:lang w:val="en-US"/>
        </w:rPr>
        <w:t>“</w:t>
      </w:r>
      <w:r w:rsidR="00D400AE" w:rsidRPr="00E2676E">
        <w:rPr>
          <w:b/>
          <w:i/>
          <w:lang w:val="en-US"/>
        </w:rPr>
        <w:t>The transition plan needs to define the scope of application of IFRS clearly with respect to the size and type of entities, as well as defining clearly whether IFRS will apply for the preparation of consolidated and separate financial statements</w:t>
      </w:r>
      <w:r w:rsidR="00D400AE" w:rsidRPr="00E2676E">
        <w:rPr>
          <w:i/>
          <w:lang w:val="en-US"/>
        </w:rPr>
        <w:t xml:space="preserve">. The case studies show that SMEs encounter serious difficulties when they are required to apply IFRS to prepare their general-purpose financial statements. Therefore, prior to the transition to IFRS, a </w:t>
      </w:r>
      <w:r w:rsidR="00D400AE" w:rsidRPr="00E2676E">
        <w:rPr>
          <w:i/>
          <w:lang w:val="en-US"/>
        </w:rPr>
        <w:lastRenderedPageBreak/>
        <w:t>reporting regime for SMEs needs to be in place. It should also be clearly communicated to preparers and users. As the case studies of India and Pakistan indicate, a three-tier approach could be used: a first tier to apply IFRS, a second tier to apply IFRS-based standards adapted for that particular tier; and a third tier consisting of microentities applying a highly simplified system that is close to cash-based accounting</w:t>
      </w:r>
      <w:r w:rsidR="00A91560">
        <w:rPr>
          <w:i/>
          <w:lang w:val="en-US"/>
        </w:rPr>
        <w:t>…</w:t>
      </w:r>
      <w:r w:rsidRPr="00E2676E">
        <w:rPr>
          <w:i/>
          <w:lang w:val="en-US"/>
        </w:rPr>
        <w:t>”</w:t>
      </w:r>
    </w:p>
    <w:p w:rsidR="00E2676E" w:rsidRDefault="00E2676E" w:rsidP="00545C9C">
      <w:pPr>
        <w:jc w:val="both"/>
      </w:pPr>
      <w:r>
        <w:t xml:space="preserve">La Ley 1314 de 2009 acogió en forma expresa y reiterada la estrategia de estratificación, sugerida hace tiempo por </w:t>
      </w:r>
      <w:r w:rsidRPr="00E2676E">
        <w:rPr>
          <w:smallCaps/>
        </w:rPr>
        <w:t>isar</w:t>
      </w:r>
      <w:r>
        <w:t>.</w:t>
      </w:r>
      <w:r w:rsidR="00280F23">
        <w:t xml:space="preserve"> Originalmente se propuso</w:t>
      </w:r>
      <w:r w:rsidR="00280F23">
        <w:rPr>
          <w:rStyle w:val="Refdenotaalpie"/>
        </w:rPr>
        <w:footnoteReference w:id="49"/>
      </w:r>
      <w:r w:rsidR="00280F23">
        <w:t>:</w:t>
      </w:r>
    </w:p>
    <w:p w:rsidR="00280F23" w:rsidRPr="00280F23" w:rsidRDefault="00280F23" w:rsidP="00545C9C">
      <w:pPr>
        <w:ind w:left="708"/>
        <w:jc w:val="both"/>
        <w:rPr>
          <w:i/>
        </w:rPr>
      </w:pPr>
      <w:r>
        <w:rPr>
          <w:i/>
        </w:rPr>
        <w:t>“</w:t>
      </w:r>
      <w:r w:rsidRPr="00280F23">
        <w:rPr>
          <w:i/>
        </w:rPr>
        <w:t>81. Se propone, por consiguiente, que se introduzca un marco propio para las PYME. Este marco se basaría en la compatibilidad con las normas internacionales, pero establecería un juego diferenciado de normas en virtud de las cuales, a medida que se engrandece la empresa, se asciende escalonadamente en el desenvolvimiento de la contabilidad, partiendo de la exposición de cuentas en efectivo y pasando luego a acumulaciones sencillas y, en definitiva, a la aplicación íntegra de las normas internacionales. Se reconoce que en este sistema reducir las exigencias de las normas internacionales en materia de divulgación no permite hallar una solución suficiente en una economía en desarrollo. La transición desde una situación de inexistencia de cuentas hasta la aplicación íntegra de las normas internacionales ha de ser lo más ordenada posible, sin saltos repentinos. El sistema propuesto es el siguiente.</w:t>
      </w:r>
    </w:p>
    <w:p w:rsidR="00280F23" w:rsidRPr="00280F23" w:rsidRDefault="00280F23" w:rsidP="00545C9C">
      <w:pPr>
        <w:ind w:left="708"/>
        <w:jc w:val="both"/>
        <w:rPr>
          <w:i/>
        </w:rPr>
      </w:pPr>
      <w:r w:rsidRPr="00280F23">
        <w:rPr>
          <w:i/>
        </w:rPr>
        <w:t>- microempresas (5 personas como máximo): documentación basada en las operaciones en efectivo;</w:t>
      </w:r>
    </w:p>
    <w:p w:rsidR="00280F23" w:rsidRPr="00280F23" w:rsidRDefault="00280F23" w:rsidP="00545C9C">
      <w:pPr>
        <w:ind w:left="708"/>
        <w:jc w:val="both"/>
        <w:rPr>
          <w:i/>
        </w:rPr>
      </w:pPr>
      <w:r w:rsidRPr="00280F23">
        <w:rPr>
          <w:i/>
        </w:rPr>
        <w:t>- pequeñas empresas (de 6 a 50 personas): sistema de contabilidad de base acumulativa, utilizando preferentemente un modelo normalizado de cuentas que tenga una estructura simplificada y suministre también informaciones sobre la gestión;</w:t>
      </w:r>
    </w:p>
    <w:p w:rsidR="00280F23" w:rsidRPr="00280F23" w:rsidRDefault="00280F23" w:rsidP="00545C9C">
      <w:pPr>
        <w:ind w:left="708"/>
        <w:jc w:val="both"/>
        <w:rPr>
          <w:i/>
        </w:rPr>
      </w:pPr>
      <w:r w:rsidRPr="00280F23">
        <w:rPr>
          <w:i/>
        </w:rPr>
        <w:t>- empresas medianas (de 51 a 250 empleados): sistema de contabilidad de base acumulativa, compatible con las normas internacionales, con una estructura más compleja;</w:t>
      </w:r>
    </w:p>
    <w:p w:rsidR="00280F23" w:rsidRPr="00280F23" w:rsidRDefault="00280F23" w:rsidP="00545C9C">
      <w:pPr>
        <w:ind w:left="708"/>
        <w:jc w:val="both"/>
        <w:rPr>
          <w:i/>
        </w:rPr>
      </w:pPr>
      <w:r w:rsidRPr="00280F23">
        <w:rPr>
          <w:i/>
        </w:rPr>
        <w:lastRenderedPageBreak/>
        <w:t>- grandes empresas que no cotizan en bolsa: cuentas fundamentalmente en armonía con las normas internacionales;</w:t>
      </w:r>
    </w:p>
    <w:p w:rsidR="00280F23" w:rsidRPr="00280F23" w:rsidRDefault="00280F23" w:rsidP="00545C9C">
      <w:pPr>
        <w:ind w:left="708"/>
        <w:jc w:val="both"/>
        <w:rPr>
          <w:i/>
        </w:rPr>
      </w:pPr>
      <w:r w:rsidRPr="00280F23">
        <w:rPr>
          <w:i/>
        </w:rPr>
        <w:t>- grandes empresas que cotizan en bolsa: cuentas con aplicación íntegra de las normas internacionales.</w:t>
      </w:r>
      <w:r>
        <w:rPr>
          <w:i/>
        </w:rPr>
        <w:t>”</w:t>
      </w:r>
    </w:p>
    <w:p w:rsidR="00284A80" w:rsidRDefault="00284A80" w:rsidP="00545C9C">
      <w:pPr>
        <w:jc w:val="both"/>
      </w:pPr>
    </w:p>
    <w:p w:rsidR="00284A80" w:rsidRDefault="00284A80" w:rsidP="00545C9C">
      <w:pPr>
        <w:jc w:val="both"/>
      </w:pPr>
      <w:r>
        <w:t>Ahora bien: la Ley 1314 de 2009 estableció dos grupos obligatorios</w:t>
      </w:r>
      <w:r w:rsidR="00EE1DEF">
        <w:t xml:space="preserve">, el grupo de aplicación plena y el grupo de </w:t>
      </w:r>
      <w:r w:rsidR="00EE1DEF" w:rsidRPr="00EE1DEF">
        <w:t>microempresas, sean personas jurídicas o naturales, que cumplan los requisitos establecidos en los numerales del artículo 499 del Estatuto Tributario</w:t>
      </w:r>
      <w:r w:rsidR="00EE1DEF">
        <w:t xml:space="preserve">. Al mismo tiempo dejó en libertad a las autoridades reguladoras, a propuesta del </w:t>
      </w:r>
      <w:r w:rsidR="00EE1DEF" w:rsidRPr="00EE1DEF">
        <w:rPr>
          <w:smallCaps/>
        </w:rPr>
        <w:t>ctcp</w:t>
      </w:r>
      <w:r w:rsidR="00EE1DEF">
        <w:t>, para organizar otros grupos de empresas</w:t>
      </w:r>
      <w:r w:rsidR="009A07A0">
        <w:rPr>
          <w:rStyle w:val="Refdenotaalpie"/>
        </w:rPr>
        <w:footnoteReference w:id="50"/>
      </w:r>
      <w:r w:rsidR="00EE1DEF">
        <w:t>:</w:t>
      </w:r>
    </w:p>
    <w:p w:rsidR="00EE1DEF" w:rsidRPr="00EE1DEF" w:rsidRDefault="00EE1DEF" w:rsidP="00545C9C">
      <w:pPr>
        <w:ind w:left="708"/>
        <w:jc w:val="both"/>
        <w:rPr>
          <w:i/>
        </w:rPr>
      </w:pPr>
      <w:r w:rsidRPr="00EE1DEF">
        <w:rPr>
          <w:i/>
        </w:rPr>
        <w:t>En desarrollo de esta ley y en atención al volumen de sus activos, de sus ingresos, al número de sus empleados, a su forma de organización jurídica o de sus circunstancias socioeconómicas, el Gobierno autorizará de manera general que ciertos obligados lleven contabilidad simplificada, emitan estados financieros y revelaciones abreviados o que estos sean objeto de aseguramiento de información de nivel moderado.</w:t>
      </w:r>
    </w:p>
    <w:p w:rsidR="009A07A0" w:rsidRDefault="009A07A0" w:rsidP="00545C9C">
      <w:pPr>
        <w:jc w:val="both"/>
      </w:pPr>
      <w:r>
        <w:t xml:space="preserve">Así pues, en principio habría tres grupos (o más si así se decide). Esto implica acciones particulares respecto de cada uno de esos grupos, lo que, a su turno, supone que un plan de convergencia no pueda ser único sino que se </w:t>
      </w:r>
      <w:r w:rsidR="00B84F4C">
        <w:t>deba concebir,</w:t>
      </w:r>
      <w:r>
        <w:t xml:space="preserve"> también</w:t>
      </w:r>
      <w:r w:rsidR="00B84F4C">
        <w:t>,</w:t>
      </w:r>
      <w:r>
        <w:t xml:space="preserve"> por estratos. Este efecto de los estratos sobre el plan (y sobre las acciones posteriores) es el que justifica que se plantee que las definiciones re</w:t>
      </w:r>
      <w:r w:rsidR="00A641D3">
        <w:t>spectivas se hagan previamente. Con la ayuda, entre otros, del MCIT, el Dane, el DNP, la DIAN, Confecámaras y las Superintendencias</w:t>
      </w:r>
      <w:r w:rsidR="00B84F4C">
        <w:t xml:space="preserve">, debe configurarse el universo de agentes económicos obligados a llevar contabilidad. </w:t>
      </w:r>
      <w:r w:rsidR="001A64BB">
        <w:t xml:space="preserve">Sobre la base de ese presupuesto </w:t>
      </w:r>
      <w:r w:rsidR="009E1939">
        <w:t xml:space="preserve">ha de </w:t>
      </w:r>
      <w:r w:rsidR="001A64BB">
        <w:t>aplicarse el principio de “</w:t>
      </w:r>
      <w:r w:rsidR="001A64BB" w:rsidRPr="009E1939">
        <w:rPr>
          <w:i/>
        </w:rPr>
        <w:t>características y prácticas de cada industria</w:t>
      </w:r>
      <w:r w:rsidR="001A64BB">
        <w:t>”, considerando, de un lado, los criterios legales de clasificación (párrafo 2 del artículo segundo y numeral 4 del artículo 8° de la Ley 1314 de 2009) y de otro el imperativo de garantizar que “</w:t>
      </w:r>
      <w:r w:rsidR="001A64BB" w:rsidRPr="001A64BB">
        <w:rPr>
          <w:i/>
        </w:rPr>
        <w:t>las normas de contabilidad, de información financiera y aseguramiento de la información de quienes participen en un mismo sector económico sean homogéneas, consistentes y comparables</w:t>
      </w:r>
      <w:r w:rsidR="001A64BB" w:rsidRPr="001A64BB">
        <w:t>.</w:t>
      </w:r>
      <w:r w:rsidR="001A64BB">
        <w:t>” (</w:t>
      </w:r>
      <w:r w:rsidR="00966123">
        <w:t>Artículo</w:t>
      </w:r>
      <w:r w:rsidR="001A64BB">
        <w:t xml:space="preserve"> 12 de la Ley 1314 de 2009)</w:t>
      </w:r>
      <w:r w:rsidR="00DF36F9">
        <w:t>.</w:t>
      </w:r>
    </w:p>
    <w:p w:rsidR="00DF36F9" w:rsidRDefault="00DF36F9" w:rsidP="00545C9C">
      <w:pPr>
        <w:jc w:val="both"/>
      </w:pPr>
      <w:r>
        <w:t xml:space="preserve">En la determinación de los estratos (y de los comités técnicos ad honorem) resultará necesario considerar los planes de cuentas en aplicación, que </w:t>
      </w:r>
      <w:r w:rsidR="00084040">
        <w:t>aplican separadamente a grupos de empresas y que implican distintos puntos de partida al iniciar la ruta de la convergencia.</w:t>
      </w:r>
    </w:p>
    <w:p w:rsidR="00761DBB" w:rsidRDefault="00761DBB" w:rsidP="00545C9C">
      <w:pPr>
        <w:jc w:val="both"/>
      </w:pPr>
      <w:r>
        <w:lastRenderedPageBreak/>
        <w:t xml:space="preserve">Se sugiere la revisión de </w:t>
      </w:r>
      <w:r w:rsidR="00DA23D7">
        <w:t>estándares</w:t>
      </w:r>
      <w:r>
        <w:t xml:space="preserve"> de contabilidad simplificada</w:t>
      </w:r>
      <w:r w:rsidR="00DA23D7">
        <w:t>, sean</w:t>
      </w:r>
      <w:r>
        <w:t xml:space="preserve"> propuestos</w:t>
      </w:r>
      <w:r w:rsidR="00DA23D7">
        <w:t xml:space="preserve"> o en aplicación, como los desarrollados </w:t>
      </w:r>
      <w:r>
        <w:t xml:space="preserve">por </w:t>
      </w:r>
      <w:r w:rsidR="00F431B0" w:rsidRPr="00F431B0">
        <w:rPr>
          <w:smallCaps/>
        </w:rPr>
        <w:t>isar</w:t>
      </w:r>
      <w:r>
        <w:t xml:space="preserve">, </w:t>
      </w:r>
      <w:r w:rsidR="00F431B0" w:rsidRPr="00F431B0">
        <w:rPr>
          <w:smallCaps/>
        </w:rPr>
        <w:t>iasb</w:t>
      </w:r>
      <w:r w:rsidR="00DA23D7">
        <w:t xml:space="preserve">, </w:t>
      </w:r>
      <w:r>
        <w:t>Canadá, España</w:t>
      </w:r>
      <w:r w:rsidR="00DA23D7">
        <w:t xml:space="preserve"> o</w:t>
      </w:r>
      <w:r w:rsidR="00A91560">
        <w:t xml:space="preserve"> </w:t>
      </w:r>
      <w:r w:rsidR="00DA23D7">
        <w:t>el Reino Unido</w:t>
      </w:r>
      <w:r>
        <w:t>.</w:t>
      </w:r>
    </w:p>
    <w:p w:rsidR="00F431B0" w:rsidRPr="00F431B0" w:rsidRDefault="00F431B0" w:rsidP="00545C9C">
      <w:pPr>
        <w:jc w:val="both"/>
      </w:pPr>
      <w:r>
        <w:t xml:space="preserve">Obsérvese que mientras </w:t>
      </w:r>
      <w:r w:rsidRPr="00F431B0">
        <w:rPr>
          <w:smallCaps/>
        </w:rPr>
        <w:t>iasb</w:t>
      </w:r>
      <w:r>
        <w:t xml:space="preserve"> ha expedido dos cuerpos separados aunque articulados de normas de contabilidad e información financiera, el </w:t>
      </w:r>
      <w:r w:rsidRPr="00F431B0">
        <w:rPr>
          <w:smallCaps/>
        </w:rPr>
        <w:t>iaasb</w:t>
      </w:r>
      <w:r w:rsidR="00A91560">
        <w:rPr>
          <w:smallCaps/>
        </w:rPr>
        <w:t xml:space="preserve"> </w:t>
      </w:r>
      <w:r>
        <w:t>mantiene la estrategia de expedir un solo cuerpo de estándares al interior del cual se hacen precisiones para ciertos sectores, como las pequeñas empresas o las empresas públicas.</w:t>
      </w:r>
    </w:p>
    <w:p w:rsidR="00BF4E01" w:rsidRPr="00D206D7" w:rsidRDefault="00922FC9" w:rsidP="00545C9C">
      <w:pPr>
        <w:pStyle w:val="Ttulo1"/>
        <w:jc w:val="both"/>
      </w:pPr>
      <w:bookmarkStart w:id="7" w:name="_Toc267647505"/>
      <w:r>
        <w:t>Algunas sugerencias sobre los c</w:t>
      </w:r>
      <w:r w:rsidR="00D206D7" w:rsidRPr="00D206D7">
        <w:t>omponentes de</w:t>
      </w:r>
      <w:r w:rsidR="00021B65">
        <w:t xml:space="preserve"> un </w:t>
      </w:r>
      <w:r w:rsidR="00D206D7" w:rsidRPr="00D206D7">
        <w:t>plan</w:t>
      </w:r>
      <w:r w:rsidR="00021B65">
        <w:t xml:space="preserve"> de convergencia</w:t>
      </w:r>
      <w:bookmarkEnd w:id="7"/>
    </w:p>
    <w:p w:rsidR="00BF4E01" w:rsidRPr="00BF4E01" w:rsidRDefault="00BF4E01" w:rsidP="00545C9C">
      <w:pPr>
        <w:pStyle w:val="Ttulo2"/>
        <w:jc w:val="both"/>
      </w:pPr>
      <w:bookmarkStart w:id="8" w:name="_Toc267647506"/>
      <w:r w:rsidRPr="00BF4E01">
        <w:t>Recomendaciones generales</w:t>
      </w:r>
      <w:bookmarkEnd w:id="8"/>
    </w:p>
    <w:p w:rsidR="00021B65" w:rsidRDefault="00021B65" w:rsidP="00545C9C">
      <w:pPr>
        <w:jc w:val="both"/>
      </w:pPr>
    </w:p>
    <w:p w:rsidR="004F7EF7" w:rsidRPr="00C42C4D" w:rsidRDefault="004F7EF7" w:rsidP="00545C9C">
      <w:pPr>
        <w:jc w:val="both"/>
      </w:pPr>
      <w:r w:rsidRPr="00C42C4D">
        <w:t>El Plan de trabajo debe</w:t>
      </w:r>
      <w:r w:rsidR="00021B65">
        <w:t>ría</w:t>
      </w:r>
      <w:r w:rsidRPr="00C42C4D">
        <w:t xml:space="preserve"> tener un índice, </w:t>
      </w:r>
      <w:r w:rsidR="00021B65">
        <w:t>lo que</w:t>
      </w:r>
      <w:r w:rsidRPr="00C42C4D">
        <w:t xml:space="preserve"> se facilitar</w:t>
      </w:r>
      <w:r w:rsidR="001406F0">
        <w:t>ía</w:t>
      </w:r>
      <w:r w:rsidR="00A91560">
        <w:t xml:space="preserve"> </w:t>
      </w:r>
      <w:r w:rsidR="00E6051E">
        <w:t xml:space="preserve">su estructuración </w:t>
      </w:r>
      <w:r w:rsidR="00021B65">
        <w:t>y</w:t>
      </w:r>
      <w:r w:rsidR="00A91560">
        <w:t xml:space="preserve"> </w:t>
      </w:r>
      <w:r w:rsidRPr="00C42C4D">
        <w:t>l</w:t>
      </w:r>
      <w:r w:rsidR="00E6051E">
        <w:t>a</w:t>
      </w:r>
      <w:r w:rsidR="00A91560">
        <w:t xml:space="preserve"> </w:t>
      </w:r>
      <w:r w:rsidR="00E6051E">
        <w:t xml:space="preserve">revisión </w:t>
      </w:r>
      <w:r w:rsidRPr="00C42C4D">
        <w:t xml:space="preserve">de </w:t>
      </w:r>
      <w:r w:rsidR="00632798">
        <w:t>los diferentes tópicos a tratar.</w:t>
      </w:r>
    </w:p>
    <w:p w:rsidR="00922FC9" w:rsidRDefault="00F91AE7" w:rsidP="00545C9C">
      <w:pPr>
        <w:tabs>
          <w:tab w:val="left" w:pos="567"/>
        </w:tabs>
        <w:jc w:val="both"/>
        <w:rPr>
          <w:rFonts w:cs="Arial"/>
        </w:rPr>
      </w:pPr>
      <w:r>
        <w:rPr>
          <w:rFonts w:cs="Arial"/>
        </w:rPr>
        <w:t>Es indispensable presupuestar las labores propuestas para no dejar actividades pendientes de e</w:t>
      </w:r>
      <w:r w:rsidR="00155455">
        <w:rPr>
          <w:rFonts w:cs="Arial"/>
        </w:rPr>
        <w:t>jecución:</w:t>
      </w:r>
    </w:p>
    <w:p w:rsidR="000A6123" w:rsidRPr="00922FC9" w:rsidRDefault="00F91AE7" w:rsidP="00545C9C">
      <w:pPr>
        <w:tabs>
          <w:tab w:val="left" w:pos="567"/>
        </w:tabs>
        <w:ind w:left="567"/>
        <w:jc w:val="both"/>
        <w:rPr>
          <w:lang w:val="en-US"/>
        </w:rPr>
      </w:pPr>
      <w:r w:rsidRPr="00922FC9">
        <w:rPr>
          <w:rFonts w:cs="Arial"/>
          <w:i/>
          <w:lang w:val="en-US"/>
        </w:rPr>
        <w:t>“</w:t>
      </w:r>
      <w:r w:rsidR="000A6123" w:rsidRPr="00922FC9">
        <w:rPr>
          <w:bCs/>
          <w:i/>
          <w:sz w:val="23"/>
          <w:szCs w:val="23"/>
          <w:lang w:val="en-US"/>
        </w:rPr>
        <w:t>Lack of human and financial resources is a significant impediment to the implementation of international standards.</w:t>
      </w:r>
      <w:r w:rsidRPr="00922FC9">
        <w:rPr>
          <w:bCs/>
          <w:i/>
          <w:sz w:val="23"/>
          <w:szCs w:val="23"/>
          <w:lang w:val="en-US"/>
        </w:rPr>
        <w:t>”</w:t>
      </w:r>
      <w:r w:rsidR="00E6051E">
        <w:rPr>
          <w:rStyle w:val="Refdenotaalpie"/>
          <w:bCs/>
          <w:i/>
          <w:sz w:val="23"/>
          <w:szCs w:val="23"/>
        </w:rPr>
        <w:footnoteReference w:id="51"/>
      </w:r>
    </w:p>
    <w:p w:rsidR="00F91AE7" w:rsidRPr="00C42C4D" w:rsidRDefault="00F91AE7" w:rsidP="00545C9C">
      <w:pPr>
        <w:jc w:val="both"/>
      </w:pPr>
      <w:r>
        <w:t xml:space="preserve">El plan </w:t>
      </w:r>
      <w:r w:rsidR="00B17D3A">
        <w:t>debería</w:t>
      </w:r>
      <w:r>
        <w:t xml:space="preserve"> tener un cronograma que señal</w:t>
      </w:r>
      <w:r w:rsidR="00B17D3A">
        <w:t>e</w:t>
      </w:r>
      <w:r w:rsidR="00A91560">
        <w:t xml:space="preserve"> </w:t>
      </w:r>
      <w:r w:rsidRPr="00C42C4D">
        <w:t xml:space="preserve">los plazos </w:t>
      </w:r>
      <w:r w:rsidR="00B17D3A">
        <w:t>previstos</w:t>
      </w:r>
      <w:r w:rsidRPr="00C42C4D">
        <w:t xml:space="preserve"> para cumplir </w:t>
      </w:r>
      <w:r>
        <w:t xml:space="preserve">con </w:t>
      </w:r>
      <w:r w:rsidRPr="00C42C4D">
        <w:t xml:space="preserve">las actividades propuestas. Adicionalmente, </w:t>
      </w:r>
      <w:r>
        <w:t>debe</w:t>
      </w:r>
      <w:r w:rsidR="00B17D3A">
        <w:t xml:space="preserve">n articularse </w:t>
      </w:r>
      <w:r>
        <w:t xml:space="preserve">los </w:t>
      </w:r>
      <w:r w:rsidRPr="00C42C4D">
        <w:t xml:space="preserve">ejes temáticos y las actividades o componentes básicos dentro de cada uno, de </w:t>
      </w:r>
      <w:r w:rsidR="00B17D3A" w:rsidRPr="00C42C4D">
        <w:t xml:space="preserve">tal </w:t>
      </w:r>
      <w:r w:rsidRPr="00C42C4D">
        <w:t xml:space="preserve">manera que </w:t>
      </w:r>
      <w:r w:rsidR="00B17D3A">
        <w:t xml:space="preserve">haya orden, coordinación y </w:t>
      </w:r>
      <w:r w:rsidR="00302291">
        <w:t>sinergia</w:t>
      </w:r>
      <w:r w:rsidRPr="00C42C4D">
        <w:t>.</w:t>
      </w:r>
    </w:p>
    <w:p w:rsidR="00C42C4D" w:rsidRDefault="00F91AE7" w:rsidP="00545C9C">
      <w:pPr>
        <w:jc w:val="both"/>
        <w:rPr>
          <w:lang w:eastAsia="es-ES"/>
        </w:rPr>
      </w:pPr>
      <w:r>
        <w:rPr>
          <w:lang w:eastAsia="es-ES"/>
        </w:rPr>
        <w:t>D</w:t>
      </w:r>
      <w:r w:rsidR="00C42C4D" w:rsidRPr="00757E20">
        <w:rPr>
          <w:lang w:eastAsia="es-ES"/>
        </w:rPr>
        <w:t xml:space="preserve">esde el inicio, </w:t>
      </w:r>
      <w:r w:rsidR="00302291">
        <w:rPr>
          <w:lang w:eastAsia="es-ES"/>
        </w:rPr>
        <w:t>las actividades de normalización y regulación</w:t>
      </w:r>
      <w:r w:rsidR="00C42C4D" w:rsidRPr="00757E20">
        <w:rPr>
          <w:lang w:eastAsia="es-ES"/>
        </w:rPr>
        <w:t xml:space="preserve"> debe</w:t>
      </w:r>
      <w:r w:rsidR="00302291">
        <w:rPr>
          <w:lang w:eastAsia="es-ES"/>
        </w:rPr>
        <w:t>n</w:t>
      </w:r>
      <w:r w:rsidR="00A91560">
        <w:rPr>
          <w:lang w:eastAsia="es-ES"/>
        </w:rPr>
        <w:t xml:space="preserve"> </w:t>
      </w:r>
      <w:r w:rsidR="00331FDB">
        <w:rPr>
          <w:lang w:eastAsia="es-ES"/>
        </w:rPr>
        <w:t>someterse a un</w:t>
      </w:r>
      <w:r w:rsidR="00C42C4D" w:rsidRPr="00757E20">
        <w:rPr>
          <w:lang w:eastAsia="es-ES"/>
        </w:rPr>
        <w:t xml:space="preserve"> “debido proceso”</w:t>
      </w:r>
      <w:r w:rsidR="00097914">
        <w:rPr>
          <w:lang w:eastAsia="es-ES"/>
        </w:rPr>
        <w:t>. E</w:t>
      </w:r>
      <w:r w:rsidR="00C42C4D" w:rsidRPr="00757E20">
        <w:rPr>
          <w:lang w:eastAsia="es-ES"/>
        </w:rPr>
        <w:t xml:space="preserve">s necesario que todos los interesados participen en </w:t>
      </w:r>
      <w:r w:rsidR="00097914">
        <w:rPr>
          <w:lang w:eastAsia="es-ES"/>
        </w:rPr>
        <w:t>la</w:t>
      </w:r>
      <w:r w:rsidR="00C42C4D" w:rsidRPr="00757E20">
        <w:rPr>
          <w:lang w:eastAsia="es-ES"/>
        </w:rPr>
        <w:t xml:space="preserve"> formulación</w:t>
      </w:r>
      <w:r w:rsidR="00097914">
        <w:rPr>
          <w:lang w:eastAsia="es-ES"/>
        </w:rPr>
        <w:t xml:space="preserve"> de las normas. C</w:t>
      </w:r>
      <w:r w:rsidR="00C42C4D" w:rsidRPr="00757E20">
        <w:rPr>
          <w:lang w:eastAsia="es-ES"/>
        </w:rPr>
        <w:t>onsecuentemente no basta con emitir un proyecto y permitir la posibilidad de comentarlo</w:t>
      </w:r>
      <w:r w:rsidR="00097914">
        <w:rPr>
          <w:lang w:eastAsia="es-ES"/>
        </w:rPr>
        <w:t>. Debe hacerse</w:t>
      </w:r>
      <w:r w:rsidR="00C42C4D" w:rsidRPr="00757E20">
        <w:rPr>
          <w:lang w:eastAsia="es-ES"/>
        </w:rPr>
        <w:t xml:space="preserve"> una amplia promoción y divulgación</w:t>
      </w:r>
      <w:r w:rsidR="007B0AB5">
        <w:rPr>
          <w:lang w:eastAsia="es-ES"/>
        </w:rPr>
        <w:t xml:space="preserve">. Han de concederse </w:t>
      </w:r>
      <w:r w:rsidR="00C42C4D" w:rsidRPr="00757E20">
        <w:rPr>
          <w:lang w:eastAsia="es-ES"/>
        </w:rPr>
        <w:t>plazos para comentar</w:t>
      </w:r>
      <w:r w:rsidR="007B0AB5">
        <w:rPr>
          <w:lang w:eastAsia="es-ES"/>
        </w:rPr>
        <w:t>ios que</w:t>
      </w:r>
      <w:r w:rsidR="00C42C4D" w:rsidRPr="00757E20">
        <w:rPr>
          <w:lang w:eastAsia="es-ES"/>
        </w:rPr>
        <w:t xml:space="preserve"> sean lo suficientemente extensos con el fin de lograr la mayor participación posible.</w:t>
      </w:r>
    </w:p>
    <w:p w:rsidR="00E6051E" w:rsidRPr="00E6051E" w:rsidRDefault="00E6051E" w:rsidP="00545C9C">
      <w:pPr>
        <w:jc w:val="both"/>
        <w:rPr>
          <w:rFonts w:cs="MyriadPro-It"/>
          <w:i/>
          <w:iCs/>
          <w:szCs w:val="20"/>
        </w:rPr>
      </w:pPr>
      <w:r w:rsidRPr="000A6123">
        <w:lastRenderedPageBreak/>
        <w:t>Es necesaria la interacción del Consejo, con organismos reguladores internacionales sobre las materias</w:t>
      </w:r>
      <w:r>
        <w:t xml:space="preserve"> que pretende regular</w:t>
      </w:r>
      <w:r w:rsidRPr="000A6123">
        <w:t xml:space="preserve">. </w:t>
      </w:r>
      <w:r w:rsidR="00686DF9">
        <w:t>Tómese nota de la</w:t>
      </w:r>
      <w:r w:rsidRPr="000A6123">
        <w:t xml:space="preserve"> siguiente </w:t>
      </w:r>
      <w:r>
        <w:t>conclusió</w:t>
      </w:r>
      <w:r w:rsidRPr="000A6123">
        <w:t xml:space="preserve">n </w:t>
      </w:r>
      <w:r>
        <w:t xml:space="preserve">de </w:t>
      </w:r>
      <w:r w:rsidR="00686DF9">
        <w:t>la</w:t>
      </w:r>
      <w:r>
        <w:t xml:space="preserve"> publicación del Banco Mundial denominada</w:t>
      </w:r>
      <w:r w:rsidR="000E2D89">
        <w:t xml:space="preserve"> </w:t>
      </w:r>
      <w:r w:rsidRPr="00E6051E">
        <w:rPr>
          <w:i/>
          <w:szCs w:val="20"/>
        </w:rPr>
        <w:t>Accounting</w:t>
      </w:r>
      <w:r w:rsidR="000E2D89">
        <w:rPr>
          <w:i/>
          <w:szCs w:val="20"/>
        </w:rPr>
        <w:t xml:space="preserve"> </w:t>
      </w:r>
      <w:r w:rsidRPr="00E6051E">
        <w:rPr>
          <w:i/>
          <w:szCs w:val="20"/>
        </w:rPr>
        <w:t>for</w:t>
      </w:r>
      <w:r w:rsidR="000E2D89">
        <w:rPr>
          <w:i/>
          <w:szCs w:val="20"/>
        </w:rPr>
        <w:t xml:space="preserve"> </w:t>
      </w:r>
      <w:r w:rsidRPr="00E6051E">
        <w:rPr>
          <w:i/>
          <w:szCs w:val="20"/>
        </w:rPr>
        <w:t>Growth in Latin</w:t>
      </w:r>
      <w:r w:rsidR="000E2D89">
        <w:rPr>
          <w:i/>
          <w:szCs w:val="20"/>
        </w:rPr>
        <w:t xml:space="preserve"> </w:t>
      </w:r>
      <w:r w:rsidRPr="00E6051E">
        <w:rPr>
          <w:i/>
          <w:szCs w:val="20"/>
        </w:rPr>
        <w:t>America and the</w:t>
      </w:r>
      <w:r w:rsidR="000E2D89">
        <w:rPr>
          <w:i/>
          <w:szCs w:val="20"/>
        </w:rPr>
        <w:t xml:space="preserve"> </w:t>
      </w:r>
      <w:r w:rsidRPr="00E6051E">
        <w:rPr>
          <w:i/>
          <w:szCs w:val="20"/>
        </w:rPr>
        <w:t xml:space="preserve">Caribbean. </w:t>
      </w:r>
      <w:r w:rsidRPr="00E6051E">
        <w:rPr>
          <w:rFonts w:cs="MyriadPro-It"/>
          <w:i/>
          <w:iCs/>
          <w:szCs w:val="20"/>
        </w:rPr>
        <w:t>Improving</w:t>
      </w:r>
      <w:r w:rsidR="000E2D89">
        <w:rPr>
          <w:rFonts w:cs="MyriadPro-It"/>
          <w:i/>
          <w:iCs/>
          <w:szCs w:val="20"/>
        </w:rPr>
        <w:t xml:space="preserve"> </w:t>
      </w:r>
      <w:r w:rsidRPr="00E6051E">
        <w:rPr>
          <w:rFonts w:cs="MyriadPro-It"/>
          <w:i/>
          <w:iCs/>
          <w:szCs w:val="20"/>
        </w:rPr>
        <w:t>Corporate</w:t>
      </w:r>
      <w:r w:rsidR="000E2D89">
        <w:rPr>
          <w:rFonts w:cs="MyriadPro-It"/>
          <w:i/>
          <w:iCs/>
          <w:szCs w:val="20"/>
        </w:rPr>
        <w:t xml:space="preserve"> </w:t>
      </w:r>
      <w:r w:rsidRPr="00E6051E">
        <w:rPr>
          <w:rFonts w:cs="MyriadPro-It"/>
          <w:i/>
          <w:iCs/>
          <w:szCs w:val="20"/>
        </w:rPr>
        <w:t>Financial</w:t>
      </w:r>
      <w:r w:rsidR="000E2D89">
        <w:rPr>
          <w:rFonts w:cs="MyriadPro-It"/>
          <w:i/>
          <w:iCs/>
          <w:szCs w:val="20"/>
        </w:rPr>
        <w:t xml:space="preserve"> </w:t>
      </w:r>
      <w:r w:rsidRPr="00E6051E">
        <w:rPr>
          <w:rFonts w:cs="MyriadPro-It"/>
          <w:i/>
          <w:iCs/>
          <w:szCs w:val="20"/>
        </w:rPr>
        <w:t>Reporting</w:t>
      </w:r>
      <w:r w:rsidR="000E2D89">
        <w:rPr>
          <w:rFonts w:cs="MyriadPro-It"/>
          <w:i/>
          <w:iCs/>
          <w:szCs w:val="20"/>
        </w:rPr>
        <w:t xml:space="preserve"> </w:t>
      </w:r>
      <w:r w:rsidRPr="00E6051E">
        <w:rPr>
          <w:rFonts w:cs="MyriadPro-It"/>
          <w:i/>
          <w:iCs/>
          <w:szCs w:val="20"/>
        </w:rPr>
        <w:t>to</w:t>
      </w:r>
      <w:r w:rsidR="000E2D89">
        <w:rPr>
          <w:rFonts w:cs="MyriadPro-It"/>
          <w:i/>
          <w:iCs/>
          <w:szCs w:val="20"/>
        </w:rPr>
        <w:t xml:space="preserve"> </w:t>
      </w:r>
      <w:r w:rsidRPr="00E6051E">
        <w:rPr>
          <w:rFonts w:cs="MyriadPro-It"/>
          <w:i/>
          <w:iCs/>
          <w:szCs w:val="20"/>
        </w:rPr>
        <w:t>Support Regional Economic</w:t>
      </w:r>
      <w:r w:rsidR="000E2D89">
        <w:rPr>
          <w:rFonts w:cs="MyriadPro-It"/>
          <w:i/>
          <w:iCs/>
          <w:szCs w:val="20"/>
        </w:rPr>
        <w:t xml:space="preserve"> </w:t>
      </w:r>
      <w:r w:rsidRPr="00E6051E">
        <w:rPr>
          <w:rFonts w:cs="MyriadPro-It"/>
          <w:i/>
          <w:iCs/>
          <w:szCs w:val="20"/>
        </w:rPr>
        <w:t>Developmen</w:t>
      </w:r>
      <w:r w:rsidR="00617239">
        <w:rPr>
          <w:rFonts w:cs="MyriadPro-It"/>
          <w:i/>
          <w:iCs/>
          <w:szCs w:val="20"/>
        </w:rPr>
        <w:t>t</w:t>
      </w:r>
      <w:r w:rsidRPr="00E6051E">
        <w:rPr>
          <w:rFonts w:cs="MyriadPro-It"/>
          <w:i/>
          <w:iCs/>
          <w:szCs w:val="20"/>
        </w:rPr>
        <w:t xml:space="preserve">, </w:t>
      </w:r>
      <w:r w:rsidR="00686DF9" w:rsidRPr="00686DF9">
        <w:rPr>
          <w:rFonts w:cs="MyriadPro-It"/>
          <w:iCs/>
          <w:szCs w:val="20"/>
        </w:rPr>
        <w:t>ya citada</w:t>
      </w:r>
      <w:r w:rsidR="00686DF9">
        <w:rPr>
          <w:rFonts w:cs="MyriadPro-It"/>
          <w:i/>
          <w:iCs/>
          <w:szCs w:val="20"/>
        </w:rPr>
        <w:t xml:space="preserve">, </w:t>
      </w:r>
      <w:r w:rsidRPr="00E6051E">
        <w:rPr>
          <w:rFonts w:cs="MyriadPro-It"/>
          <w:iCs/>
          <w:szCs w:val="20"/>
        </w:rPr>
        <w:t>también aplicable a las normas de aseguramiento:</w:t>
      </w:r>
    </w:p>
    <w:p w:rsidR="00E6051E" w:rsidRPr="004510A0" w:rsidRDefault="00E6051E" w:rsidP="00545C9C">
      <w:pPr>
        <w:autoSpaceDE w:val="0"/>
        <w:autoSpaceDN w:val="0"/>
        <w:adjustRightInd w:val="0"/>
        <w:spacing w:after="0" w:line="240" w:lineRule="auto"/>
        <w:ind w:left="708"/>
        <w:jc w:val="both"/>
        <w:rPr>
          <w:rFonts w:cs="Berling-Roman"/>
          <w:i/>
          <w:color w:val="231F20"/>
          <w:lang w:val="en-US"/>
        </w:rPr>
      </w:pPr>
      <w:r w:rsidRPr="004510A0">
        <w:rPr>
          <w:rFonts w:cs="Berling-Roman"/>
          <w:i/>
          <w:color w:val="231F20"/>
          <w:lang w:val="en-US"/>
        </w:rPr>
        <w:t>“LAC countries that have adopted or plan to adopt IFRS need to participate in the international standard- setting process, so that the standards reflect their needs and local realities.”</w:t>
      </w:r>
      <w:r>
        <w:rPr>
          <w:rStyle w:val="Refdenotaalpie"/>
          <w:rFonts w:cs="Berling-Roman"/>
          <w:i/>
          <w:color w:val="231F20"/>
          <w:lang w:val="en-US"/>
        </w:rPr>
        <w:footnoteReference w:id="52"/>
      </w:r>
    </w:p>
    <w:p w:rsidR="00922FC9" w:rsidRDefault="006D636A" w:rsidP="00545C9C">
      <w:pPr>
        <w:pStyle w:val="Ttulo2"/>
        <w:jc w:val="both"/>
        <w:rPr>
          <w:rFonts w:cs="TimesNewRomanPSMT"/>
          <w:lang w:eastAsia="es-ES"/>
        </w:rPr>
      </w:pPr>
      <w:bookmarkStart w:id="9" w:name="_Toc267647507"/>
      <w:r>
        <w:rPr>
          <w:lang w:eastAsia="es-ES"/>
        </w:rPr>
        <w:t>Esquema del plan</w:t>
      </w:r>
      <w:bookmarkEnd w:id="9"/>
    </w:p>
    <w:p w:rsidR="00922FC9" w:rsidRDefault="00922FC9" w:rsidP="00545C9C">
      <w:pPr>
        <w:autoSpaceDE w:val="0"/>
        <w:autoSpaceDN w:val="0"/>
        <w:adjustRightInd w:val="0"/>
        <w:spacing w:after="0" w:line="240" w:lineRule="auto"/>
        <w:jc w:val="both"/>
        <w:rPr>
          <w:rFonts w:cs="TimesNewRomanPSMT"/>
          <w:lang w:eastAsia="es-ES"/>
        </w:rPr>
      </w:pPr>
    </w:p>
    <w:p w:rsidR="00922FC9" w:rsidRDefault="00922FC9" w:rsidP="00545C9C">
      <w:pPr>
        <w:jc w:val="both"/>
        <w:rPr>
          <w:lang w:eastAsia="es-ES"/>
        </w:rPr>
      </w:pPr>
      <w:r>
        <w:rPr>
          <w:lang w:eastAsia="es-ES"/>
        </w:rPr>
        <w:t xml:space="preserve">Se </w:t>
      </w:r>
      <w:r w:rsidR="00843059">
        <w:rPr>
          <w:lang w:eastAsia="es-ES"/>
        </w:rPr>
        <w:t>sugiere</w:t>
      </w:r>
      <w:r>
        <w:rPr>
          <w:lang w:eastAsia="es-ES"/>
        </w:rPr>
        <w:t xml:space="preserve"> un plan </w:t>
      </w:r>
      <w:r w:rsidR="00C768FB">
        <w:rPr>
          <w:lang w:eastAsia="es-ES"/>
        </w:rPr>
        <w:t>compuesto por</w:t>
      </w:r>
      <w:r w:rsidR="00843059">
        <w:rPr>
          <w:lang w:eastAsia="es-ES"/>
        </w:rPr>
        <w:t>, al menos,</w:t>
      </w:r>
      <w:r>
        <w:rPr>
          <w:lang w:eastAsia="es-ES"/>
        </w:rPr>
        <w:t xml:space="preserve"> 3 grandes etapas, </w:t>
      </w:r>
      <w:r w:rsidR="00C768FB">
        <w:rPr>
          <w:lang w:eastAsia="es-ES"/>
        </w:rPr>
        <w:t xml:space="preserve">que se desarrollarían </w:t>
      </w:r>
      <w:r>
        <w:rPr>
          <w:lang w:eastAsia="es-ES"/>
        </w:rPr>
        <w:t xml:space="preserve">una vez </w:t>
      </w:r>
      <w:r w:rsidR="00C768FB">
        <w:rPr>
          <w:lang w:eastAsia="es-ES"/>
        </w:rPr>
        <w:t>satisfechos</w:t>
      </w:r>
      <w:r>
        <w:rPr>
          <w:lang w:eastAsia="es-ES"/>
        </w:rPr>
        <w:t xml:space="preserve"> los requisitos de funcionamiento y</w:t>
      </w:r>
      <w:r w:rsidR="00843059">
        <w:rPr>
          <w:lang w:eastAsia="es-ES"/>
        </w:rPr>
        <w:t xml:space="preserve"> realizadas</w:t>
      </w:r>
      <w:r>
        <w:rPr>
          <w:lang w:eastAsia="es-ES"/>
        </w:rPr>
        <w:t xml:space="preserve"> las labores </w:t>
      </w:r>
      <w:r w:rsidR="00843059">
        <w:rPr>
          <w:lang w:eastAsia="es-ES"/>
        </w:rPr>
        <w:t xml:space="preserve">de diagnóstico </w:t>
      </w:r>
      <w:r>
        <w:rPr>
          <w:lang w:eastAsia="es-ES"/>
        </w:rPr>
        <w:t>previas a la formulación del plan</w:t>
      </w:r>
      <w:r w:rsidR="00843059">
        <w:rPr>
          <w:lang w:eastAsia="es-ES"/>
        </w:rPr>
        <w:t>.</w:t>
      </w:r>
      <w:r w:rsidR="000E2D89">
        <w:rPr>
          <w:lang w:eastAsia="es-ES"/>
        </w:rPr>
        <w:t xml:space="preserve"> </w:t>
      </w:r>
      <w:r w:rsidR="00CE0296">
        <w:rPr>
          <w:lang w:eastAsia="es-ES"/>
        </w:rPr>
        <w:t>Simultáneamente se propone que ciertas acciones se realicen a lo largo de todo el proceso.</w:t>
      </w:r>
    </w:p>
    <w:p w:rsidR="0087085E" w:rsidRPr="0066013E" w:rsidRDefault="0087085E" w:rsidP="00545C9C">
      <w:pPr>
        <w:jc w:val="both"/>
        <w:rPr>
          <w:lang w:val="en-US" w:eastAsia="es-ES"/>
        </w:rPr>
      </w:pPr>
      <w:r>
        <w:rPr>
          <w:lang w:eastAsia="es-ES"/>
        </w:rPr>
        <w:t xml:space="preserve">La estructuración </w:t>
      </w:r>
      <w:r w:rsidR="00695EC7">
        <w:rPr>
          <w:lang w:eastAsia="es-ES"/>
        </w:rPr>
        <w:t>por</w:t>
      </w:r>
      <w:r>
        <w:rPr>
          <w:lang w:eastAsia="es-ES"/>
        </w:rPr>
        <w:t xml:space="preserve"> etapas se acerca más a la idea de una “hoja de ruta” utilizada por varios países. Tiene la ventaja de permitir a los destinatarios de las normas</w:t>
      </w:r>
      <w:r w:rsidR="00146B3F">
        <w:rPr>
          <w:lang w:eastAsia="es-ES"/>
        </w:rPr>
        <w:t xml:space="preserve"> sincronizar sus propios planes con los del </w:t>
      </w:r>
      <w:r w:rsidR="00146B3F" w:rsidRPr="005838CB">
        <w:rPr>
          <w:smallCaps/>
          <w:lang w:eastAsia="es-ES"/>
        </w:rPr>
        <w:t>ctcp</w:t>
      </w:r>
      <w:r w:rsidR="00146B3F">
        <w:rPr>
          <w:lang w:eastAsia="es-ES"/>
        </w:rPr>
        <w:t>.</w:t>
      </w:r>
      <w:r w:rsidR="000E2D89">
        <w:rPr>
          <w:lang w:eastAsia="es-ES"/>
        </w:rPr>
        <w:t xml:space="preserve"> </w:t>
      </w:r>
      <w:r w:rsidR="0066013E" w:rsidRPr="0066013E">
        <w:rPr>
          <w:lang w:val="en-US" w:eastAsia="es-ES"/>
        </w:rPr>
        <w:t>Véase, por</w:t>
      </w:r>
      <w:r w:rsidR="000E2D89">
        <w:rPr>
          <w:lang w:val="en-US" w:eastAsia="es-ES"/>
        </w:rPr>
        <w:t xml:space="preserve"> </w:t>
      </w:r>
      <w:r w:rsidR="0066013E" w:rsidRPr="0066013E">
        <w:rPr>
          <w:lang w:val="en-US" w:eastAsia="es-ES"/>
        </w:rPr>
        <w:t xml:space="preserve">ejemplo, </w:t>
      </w:r>
      <w:r w:rsidR="0066013E" w:rsidRPr="00CE7D94">
        <w:rPr>
          <w:i/>
          <w:lang w:val="en-US" w:eastAsia="es-ES"/>
        </w:rPr>
        <w:t>Roadmap For The Potential Use Of Financial Statements Prepared In Accordance With International Financial Reporting Standards By U.S. Issuers</w:t>
      </w:r>
      <w:r w:rsidR="0066013E">
        <w:rPr>
          <w:rStyle w:val="Refdenotaalpie"/>
          <w:lang w:val="en-US" w:eastAsia="es-ES"/>
        </w:rPr>
        <w:footnoteReference w:id="53"/>
      </w:r>
      <w:r w:rsidR="00FF5C82" w:rsidRPr="00FF5C82">
        <w:rPr>
          <w:lang w:val="en-US" w:eastAsia="es-ES"/>
        </w:rPr>
        <w:t>o</w:t>
      </w:r>
      <w:r w:rsidR="000E2D89">
        <w:rPr>
          <w:lang w:val="en-US" w:eastAsia="es-ES"/>
        </w:rPr>
        <w:t xml:space="preserve"> </w:t>
      </w:r>
      <w:r w:rsidR="00FF5C82" w:rsidRPr="00FF5C82">
        <w:rPr>
          <w:i/>
          <w:lang w:val="en-US" w:eastAsia="es-ES"/>
        </w:rPr>
        <w:t>Implementation Plan for Incorporating International Financial Reporting Standards into Canadian GAAP</w:t>
      </w:r>
      <w:r w:rsidR="00C95A65">
        <w:rPr>
          <w:rStyle w:val="Refdenotaalpie"/>
          <w:i/>
          <w:lang w:val="en-US" w:eastAsia="es-ES"/>
        </w:rPr>
        <w:footnoteReference w:id="54"/>
      </w:r>
    </w:p>
    <w:p w:rsidR="005A1CDD" w:rsidRDefault="00F94635" w:rsidP="00545C9C">
      <w:pPr>
        <w:keepNext/>
        <w:autoSpaceDE w:val="0"/>
        <w:autoSpaceDN w:val="0"/>
        <w:adjustRightInd w:val="0"/>
        <w:spacing w:after="0" w:line="240" w:lineRule="auto"/>
        <w:ind w:left="1416" w:firstLine="708"/>
        <w:jc w:val="both"/>
      </w:pPr>
      <w:r w:rsidRPr="00F94635">
        <w:rPr>
          <w:rFonts w:cs="TimesNewRomanPSMT"/>
          <w:noProof/>
          <w:lang w:eastAsia="es-CO"/>
        </w:rPr>
        <w:lastRenderedPageBreak/>
        <w:pict>
          <v:rect id="_x0000_s1026" style="position:absolute;left:0;text-align:left;margin-left:-10.55pt;margin-top:9.15pt;width:122.5pt;height:74pt;z-index:251658240">
            <v:textbox style="mso-next-textbox:#_x0000_s1026">
              <w:txbxContent>
                <w:p w:rsidR="00704C1D" w:rsidRPr="004510A0" w:rsidRDefault="00704C1D" w:rsidP="004510A0">
                  <w:pPr>
                    <w:pStyle w:val="Prrafodelista"/>
                    <w:ind w:left="284"/>
                    <w:jc w:val="center"/>
                    <w:rPr>
                      <w:b/>
                      <w:sz w:val="16"/>
                    </w:rPr>
                  </w:pPr>
                  <w:r w:rsidRPr="004510A0">
                    <w:rPr>
                      <w:b/>
                      <w:sz w:val="16"/>
                    </w:rPr>
                    <w:t>Condiciones Previas</w:t>
                  </w:r>
                </w:p>
                <w:p w:rsidR="00704C1D" w:rsidRPr="004510A0" w:rsidRDefault="00704C1D" w:rsidP="004510A0">
                  <w:pPr>
                    <w:pStyle w:val="Prrafodelista"/>
                    <w:numPr>
                      <w:ilvl w:val="0"/>
                      <w:numId w:val="20"/>
                    </w:numPr>
                    <w:ind w:left="284" w:hanging="284"/>
                    <w:rPr>
                      <w:sz w:val="16"/>
                    </w:rPr>
                  </w:pPr>
                  <w:r w:rsidRPr="004510A0">
                    <w:rPr>
                      <w:sz w:val="16"/>
                    </w:rPr>
                    <w:t>Definición de la estructura de funcionamiento.</w:t>
                  </w:r>
                </w:p>
                <w:p w:rsidR="00704C1D" w:rsidRDefault="00704C1D" w:rsidP="005A1CDD">
                  <w:pPr>
                    <w:pStyle w:val="Prrafodelista"/>
                    <w:numPr>
                      <w:ilvl w:val="0"/>
                      <w:numId w:val="20"/>
                    </w:numPr>
                    <w:ind w:left="284" w:hanging="284"/>
                    <w:rPr>
                      <w:sz w:val="16"/>
                    </w:rPr>
                  </w:pPr>
                  <w:r w:rsidRPr="004510A0">
                    <w:rPr>
                      <w:sz w:val="16"/>
                    </w:rPr>
                    <w:t>Diagnóstico de la regulación</w:t>
                  </w:r>
                </w:p>
                <w:p w:rsidR="00704C1D" w:rsidRPr="004510A0" w:rsidRDefault="00704C1D" w:rsidP="005A1CDD">
                  <w:pPr>
                    <w:pStyle w:val="Prrafodelista"/>
                    <w:numPr>
                      <w:ilvl w:val="0"/>
                      <w:numId w:val="20"/>
                    </w:numPr>
                    <w:ind w:left="284" w:hanging="284"/>
                    <w:rPr>
                      <w:sz w:val="16"/>
                    </w:rPr>
                  </w:pPr>
                  <w:r w:rsidRPr="004510A0">
                    <w:rPr>
                      <w:sz w:val="16"/>
                    </w:rPr>
                    <w:t>Preparación de las entidades</w:t>
                  </w:r>
                </w:p>
              </w:txbxContent>
            </v:textbox>
          </v:rect>
        </w:pict>
      </w:r>
      <w:r w:rsidR="006D636A">
        <w:rPr>
          <w:rFonts w:cs="TimesNewRomanPSMT"/>
          <w:noProof/>
          <w:lang w:val="es-ES" w:eastAsia="es-ES"/>
        </w:rPr>
        <w:drawing>
          <wp:inline distT="0" distB="0" distL="0" distR="0">
            <wp:extent cx="3911600" cy="1174750"/>
            <wp:effectExtent l="38100" t="0" r="12700" b="0"/>
            <wp:docPr id="3"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D636A" w:rsidRDefault="005A1CDD" w:rsidP="00545C9C">
      <w:pPr>
        <w:autoSpaceDE w:val="0"/>
        <w:autoSpaceDN w:val="0"/>
        <w:adjustRightInd w:val="0"/>
        <w:spacing w:after="0" w:line="240" w:lineRule="auto"/>
        <w:jc w:val="both"/>
        <w:rPr>
          <w:rFonts w:cs="TimesNewRomanPSMT"/>
          <w:lang w:eastAsia="es-ES"/>
        </w:rPr>
      </w:pPr>
      <w:r>
        <w:rPr>
          <w:rFonts w:cs="TimesNewRomanPSMT"/>
          <w:noProof/>
          <w:lang w:val="es-ES" w:eastAsia="es-ES"/>
        </w:rPr>
        <w:drawing>
          <wp:inline distT="0" distB="0" distL="0" distR="0">
            <wp:extent cx="5683250" cy="1123950"/>
            <wp:effectExtent l="0" t="0" r="1270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F4E01" w:rsidRPr="00BF4E01" w:rsidRDefault="008E5791" w:rsidP="00545C9C">
      <w:pPr>
        <w:pStyle w:val="Ttulo2"/>
        <w:jc w:val="both"/>
      </w:pPr>
      <w:bookmarkStart w:id="10" w:name="_Toc267647508"/>
      <w:r>
        <w:t>Descripción de cada etapa</w:t>
      </w:r>
      <w:bookmarkEnd w:id="10"/>
    </w:p>
    <w:p w:rsidR="007025FD" w:rsidRDefault="007025FD" w:rsidP="00545C9C">
      <w:pPr>
        <w:jc w:val="both"/>
      </w:pPr>
    </w:p>
    <w:p w:rsidR="00BF4E01" w:rsidRDefault="00E6051E" w:rsidP="00545C9C">
      <w:pPr>
        <w:jc w:val="both"/>
      </w:pPr>
      <w:r>
        <w:t xml:space="preserve">A continuación se </w:t>
      </w:r>
      <w:r w:rsidR="00B8772D">
        <w:t>enuncian</w:t>
      </w:r>
      <w:r>
        <w:t xml:space="preserve"> las actividades </w:t>
      </w:r>
      <w:r w:rsidR="0045709A">
        <w:t xml:space="preserve">principales </w:t>
      </w:r>
      <w:r>
        <w:t xml:space="preserve">de cada una de las fases propuestas, </w:t>
      </w:r>
      <w:r w:rsidR="00CD01E2">
        <w:t xml:space="preserve">enmarcadas dentro del debido proceso que se debe </w:t>
      </w:r>
      <w:r w:rsidR="00BD19EC">
        <w:t>observar</w:t>
      </w:r>
      <w:r w:rsidR="00CD01E2">
        <w:t xml:space="preserve">, teniendo como referente </w:t>
      </w:r>
      <w:r w:rsidR="005A1CDD">
        <w:t>algunas fases d</w:t>
      </w:r>
      <w:r w:rsidR="00CD01E2">
        <w:t>el</w:t>
      </w:r>
      <w:r w:rsidR="005A1CDD">
        <w:t xml:space="preserve"> proceso</w:t>
      </w:r>
      <w:r w:rsidR="00CD01E2">
        <w:t xml:space="preserve"> utilizado por IASB</w:t>
      </w:r>
      <w:r w:rsidR="00695EC7">
        <w:rPr>
          <w:rStyle w:val="Refdenotaalpie"/>
        </w:rPr>
        <w:footnoteReference w:id="55"/>
      </w:r>
      <w:r w:rsidR="00CD01E2">
        <w:t>. Adicionalmente</w:t>
      </w:r>
      <w:r w:rsidR="00A91560">
        <w:t xml:space="preserve"> </w:t>
      </w:r>
      <w:r w:rsidR="00CD01E2">
        <w:t xml:space="preserve">se propone </w:t>
      </w:r>
      <w:r w:rsidR="00761DBB">
        <w:t>ocuparse</w:t>
      </w:r>
      <w:r w:rsidR="00CD01E2">
        <w:t xml:space="preserve"> de las normas de información financiera al </w:t>
      </w:r>
      <w:r w:rsidR="00761DBB">
        <w:t xml:space="preserve">mismo </w:t>
      </w:r>
      <w:r w:rsidR="00CD01E2">
        <w:t xml:space="preserve">tiempo </w:t>
      </w:r>
      <w:r w:rsidR="00761DBB">
        <w:t xml:space="preserve">que </w:t>
      </w:r>
      <w:r w:rsidR="00CD01E2">
        <w:t xml:space="preserve">de </w:t>
      </w:r>
      <w:r w:rsidR="00FF7457">
        <w:t xml:space="preserve">las normas de </w:t>
      </w:r>
      <w:r w:rsidR="00CD01E2">
        <w:t>asegura</w:t>
      </w:r>
      <w:r w:rsidR="00FF7457">
        <w:t xml:space="preserve">miento pero </w:t>
      </w:r>
      <w:r w:rsidR="00761DBB">
        <w:t>en</w:t>
      </w:r>
      <w:r w:rsidR="00FF7457">
        <w:t xml:space="preserve"> forma separada.</w:t>
      </w:r>
    </w:p>
    <w:p w:rsidR="0044294F" w:rsidRDefault="00DB1D7D" w:rsidP="00545C9C">
      <w:pPr>
        <w:pStyle w:val="Ttulo3"/>
        <w:jc w:val="both"/>
        <w:rPr>
          <w:lang w:val="es-ES" w:eastAsia="es-ES"/>
        </w:rPr>
      </w:pPr>
      <w:bookmarkStart w:id="11" w:name="_Toc267647509"/>
      <w:r w:rsidRPr="00DB1D7D">
        <w:rPr>
          <w:lang w:val="es-ES" w:eastAsia="es-ES"/>
        </w:rPr>
        <w:t xml:space="preserve">FASE I </w:t>
      </w:r>
      <w:r w:rsidR="00F016BA">
        <w:rPr>
          <w:lang w:val="es-ES" w:eastAsia="es-ES"/>
        </w:rPr>
        <w:t>Construcción</w:t>
      </w:r>
      <w:r w:rsidR="000E2D89">
        <w:rPr>
          <w:lang w:val="es-ES" w:eastAsia="es-ES"/>
        </w:rPr>
        <w:t xml:space="preserve"> </w:t>
      </w:r>
      <w:r w:rsidR="00E6051E">
        <w:rPr>
          <w:lang w:val="es-ES" w:eastAsia="es-ES"/>
        </w:rPr>
        <w:t>de la regulación</w:t>
      </w:r>
      <w:bookmarkEnd w:id="11"/>
    </w:p>
    <w:p w:rsidR="00EA7AB9" w:rsidRDefault="00EA7AB9" w:rsidP="00545C9C">
      <w:pPr>
        <w:autoSpaceDE w:val="0"/>
        <w:autoSpaceDN w:val="0"/>
        <w:adjustRightInd w:val="0"/>
        <w:spacing w:after="0" w:line="240" w:lineRule="auto"/>
        <w:jc w:val="both"/>
      </w:pPr>
    </w:p>
    <w:p w:rsidR="00CD01E2" w:rsidRPr="00123145" w:rsidRDefault="00CD01E2" w:rsidP="00545C9C">
      <w:pPr>
        <w:autoSpaceDE w:val="0"/>
        <w:autoSpaceDN w:val="0"/>
        <w:adjustRightInd w:val="0"/>
        <w:spacing w:after="0" w:line="240" w:lineRule="auto"/>
        <w:jc w:val="both"/>
        <w:rPr>
          <w:rFonts w:cs="TimesNewRomanPS-BoldMT"/>
          <w:b/>
          <w:bCs/>
          <w:lang w:eastAsia="es-ES"/>
        </w:rPr>
      </w:pPr>
      <w:r w:rsidRPr="00123145">
        <w:rPr>
          <w:b/>
        </w:rPr>
        <w:t xml:space="preserve">Definición de la agenda de trabajo: </w:t>
      </w:r>
      <w:r w:rsidR="00624016">
        <w:t>Como ya se señaló, la agenda debe considerar por separado (aunque en forma sincronizada) las actividades relacionadas con la contabilidad y la información financiera de cada uno de los estratos y, por otra parte</w:t>
      </w:r>
      <w:r w:rsidR="0085589B">
        <w:t>, los trabajos de convergencia en materia de aseguramiento de información.</w:t>
      </w:r>
    </w:p>
    <w:p w:rsidR="00FF7457" w:rsidRPr="00FF7457" w:rsidRDefault="00FF7457" w:rsidP="00545C9C">
      <w:pPr>
        <w:pStyle w:val="Prrafodelista"/>
        <w:autoSpaceDE w:val="0"/>
        <w:autoSpaceDN w:val="0"/>
        <w:adjustRightInd w:val="0"/>
        <w:spacing w:after="0" w:line="240" w:lineRule="auto"/>
        <w:ind w:left="360"/>
        <w:jc w:val="both"/>
        <w:rPr>
          <w:rFonts w:cs="TimesNewRomanPS-BoldMT"/>
          <w:b/>
          <w:bCs/>
          <w:lang w:eastAsia="es-ES"/>
        </w:rPr>
      </w:pPr>
    </w:p>
    <w:p w:rsidR="00B50DA4" w:rsidRDefault="00C40563" w:rsidP="00545C9C">
      <w:pPr>
        <w:jc w:val="both"/>
        <w:rPr>
          <w:i/>
          <w:lang w:eastAsia="es-ES"/>
        </w:rPr>
      </w:pPr>
      <w:r w:rsidRPr="00123145">
        <w:rPr>
          <w:b/>
        </w:rPr>
        <w:t>Diseño</w:t>
      </w:r>
      <w:r w:rsidR="00FF7457" w:rsidRPr="00123145">
        <w:rPr>
          <w:b/>
        </w:rPr>
        <w:t xml:space="preserve"> de la regulación </w:t>
      </w:r>
      <w:r w:rsidR="00617239" w:rsidRPr="00123145">
        <w:rPr>
          <w:b/>
        </w:rPr>
        <w:t>para</w:t>
      </w:r>
      <w:r w:rsidR="00FF7457" w:rsidRPr="00123145">
        <w:rPr>
          <w:b/>
        </w:rPr>
        <w:t xml:space="preserve"> cada </w:t>
      </w:r>
      <w:r w:rsidR="00B36B41" w:rsidRPr="00123145">
        <w:rPr>
          <w:b/>
        </w:rPr>
        <w:t>estrato.</w:t>
      </w:r>
      <w:r w:rsidR="000E2D89">
        <w:rPr>
          <w:b/>
        </w:rPr>
        <w:t xml:space="preserve"> </w:t>
      </w:r>
      <w:r>
        <w:t xml:space="preserve">Existen distintas formas de “hojas de ruta” susceptibles de ser adoptadas por </w:t>
      </w:r>
      <w:r w:rsidRPr="00123145">
        <w:rPr>
          <w:smallCaps/>
        </w:rPr>
        <w:t>ctcp</w:t>
      </w:r>
      <w:r>
        <w:t xml:space="preserve">. En todo caso, cualquiera sea la ruta escogida, </w:t>
      </w:r>
      <w:r w:rsidR="00A8397F">
        <w:t>ésta</w:t>
      </w:r>
      <w:r>
        <w:t xml:space="preserve"> debe recorrerse conforme a un debido proceso, cuyos elementos básicos ya fueron enunciados en este documento. A título de ejemplo </w:t>
      </w:r>
      <w:r w:rsidR="00EF69D1">
        <w:t>de hoja de ruta</w:t>
      </w:r>
      <w:r w:rsidR="000E2D89">
        <w:t xml:space="preserve"> </w:t>
      </w:r>
      <w:r w:rsidR="001232E6">
        <w:t>nos remitimos</w:t>
      </w:r>
      <w:r w:rsidR="00EF69D1">
        <w:t xml:space="preserve"> al documento</w:t>
      </w:r>
      <w:r w:rsidR="000E2D89">
        <w:t xml:space="preserve"> </w:t>
      </w:r>
      <w:r w:rsidR="001232E6" w:rsidRPr="001232E6">
        <w:rPr>
          <w:i/>
          <w:lang w:eastAsia="es-ES"/>
        </w:rPr>
        <w:t>Implementation Plan for</w:t>
      </w:r>
      <w:r w:rsidR="000E2D89">
        <w:rPr>
          <w:i/>
          <w:lang w:eastAsia="es-ES"/>
        </w:rPr>
        <w:t xml:space="preserve"> </w:t>
      </w:r>
      <w:r w:rsidR="001232E6" w:rsidRPr="001232E6">
        <w:rPr>
          <w:i/>
          <w:lang w:eastAsia="es-ES"/>
        </w:rPr>
        <w:t>Incorporating International Financial</w:t>
      </w:r>
      <w:r w:rsidR="000E2D89">
        <w:rPr>
          <w:i/>
          <w:lang w:eastAsia="es-ES"/>
        </w:rPr>
        <w:t xml:space="preserve"> </w:t>
      </w:r>
      <w:r w:rsidR="001232E6" w:rsidRPr="001232E6">
        <w:rPr>
          <w:i/>
          <w:lang w:eastAsia="es-ES"/>
        </w:rPr>
        <w:t>Reporting</w:t>
      </w:r>
      <w:r w:rsidR="000E2D89">
        <w:rPr>
          <w:i/>
          <w:lang w:eastAsia="es-ES"/>
        </w:rPr>
        <w:t xml:space="preserve"> </w:t>
      </w:r>
      <w:r w:rsidR="001232E6" w:rsidRPr="001232E6">
        <w:rPr>
          <w:i/>
          <w:lang w:eastAsia="es-ES"/>
        </w:rPr>
        <w:t>Standards</w:t>
      </w:r>
      <w:r w:rsidR="000E2D89">
        <w:rPr>
          <w:i/>
          <w:lang w:eastAsia="es-ES"/>
        </w:rPr>
        <w:t xml:space="preserve"> </w:t>
      </w:r>
      <w:r w:rsidR="001232E6" w:rsidRPr="001232E6">
        <w:rPr>
          <w:i/>
          <w:lang w:eastAsia="es-ES"/>
        </w:rPr>
        <w:t>into Canadian GAAP</w:t>
      </w:r>
      <w:r w:rsidR="001232E6" w:rsidRPr="00EF69D1">
        <w:rPr>
          <w:rStyle w:val="Refdenotaalpie"/>
          <w:lang w:val="en-US" w:eastAsia="es-ES"/>
        </w:rPr>
        <w:footnoteReference w:id="56"/>
      </w:r>
      <w:r w:rsidR="00B50DA4">
        <w:rPr>
          <w:i/>
          <w:lang w:eastAsia="es-ES"/>
        </w:rPr>
        <w:t>.</w:t>
      </w:r>
    </w:p>
    <w:p w:rsidR="00B50DA4" w:rsidRPr="00A8397F" w:rsidRDefault="00B50DA4" w:rsidP="00545C9C">
      <w:pPr>
        <w:jc w:val="both"/>
        <w:rPr>
          <w:rFonts w:cs="TimesNewRomanPS-BoldMT"/>
          <w:bCs/>
          <w:lang w:val="es-ES" w:eastAsia="es-ES"/>
        </w:rPr>
      </w:pPr>
      <w:r>
        <w:rPr>
          <w:rFonts w:cs="TimesNewRomanPS-BoldMT"/>
          <w:bCs/>
          <w:lang w:val="es-ES" w:eastAsia="es-ES"/>
        </w:rPr>
        <w:lastRenderedPageBreak/>
        <w:t xml:space="preserve">Convendría definir una secuencia de estudio, por ejemplo las normas relacionadas con los activos, con los pasivos, con el patrimonio, con los ingresos, con los costos y gastos, con los estados financieros, con las revelaciones, con la adopción por primera vez. O, tratándose de aseguramiento, cada una de las secciones en que están organizadas los </w:t>
      </w:r>
      <w:r w:rsidRPr="00EF69D1">
        <w:rPr>
          <w:rFonts w:cs="TimesNewRomanPS-BoldMT"/>
          <w:bCs/>
          <w:smallCaps/>
          <w:lang w:val="es-ES" w:eastAsia="es-ES"/>
        </w:rPr>
        <w:t>isa</w:t>
      </w:r>
      <w:r>
        <w:rPr>
          <w:rFonts w:cs="TimesNewRomanPS-BoldMT"/>
          <w:bCs/>
          <w:lang w:val="es-ES" w:eastAsia="es-ES"/>
        </w:rPr>
        <w:t>.</w:t>
      </w:r>
    </w:p>
    <w:p w:rsidR="008B5ACC" w:rsidRPr="007C1837" w:rsidRDefault="00DB1D7D" w:rsidP="00545C9C">
      <w:pPr>
        <w:pStyle w:val="Ttulo3"/>
        <w:jc w:val="both"/>
        <w:rPr>
          <w:lang w:eastAsia="es-ES"/>
        </w:rPr>
      </w:pPr>
      <w:bookmarkStart w:id="12" w:name="_Toc267647510"/>
      <w:r w:rsidRPr="007C1837">
        <w:rPr>
          <w:lang w:eastAsia="es-ES"/>
        </w:rPr>
        <w:t>FASE II - Implementación</w:t>
      </w:r>
      <w:bookmarkEnd w:id="12"/>
    </w:p>
    <w:p w:rsidR="00D874BC" w:rsidRPr="007C1837" w:rsidRDefault="00D874BC" w:rsidP="00545C9C">
      <w:pPr>
        <w:autoSpaceDE w:val="0"/>
        <w:autoSpaceDN w:val="0"/>
        <w:adjustRightInd w:val="0"/>
        <w:spacing w:after="0" w:line="240" w:lineRule="auto"/>
        <w:jc w:val="both"/>
        <w:rPr>
          <w:rFonts w:cs="TimesNewRomanPS-BoldMT"/>
          <w:b/>
          <w:bCs/>
          <w:lang w:eastAsia="es-ES"/>
        </w:rPr>
      </w:pPr>
    </w:p>
    <w:p w:rsidR="00D874BC" w:rsidRPr="00D874BC" w:rsidRDefault="00D874BC" w:rsidP="00545C9C">
      <w:pPr>
        <w:jc w:val="both"/>
        <w:rPr>
          <w:lang w:eastAsia="es-ES"/>
        </w:rPr>
      </w:pPr>
      <w:r w:rsidRPr="00D874BC">
        <w:rPr>
          <w:lang w:eastAsia="es-ES"/>
        </w:rPr>
        <w:t xml:space="preserve">Esta fase </w:t>
      </w:r>
      <w:r w:rsidR="003376D2">
        <w:rPr>
          <w:lang w:eastAsia="es-ES"/>
        </w:rPr>
        <w:t>tendría</w:t>
      </w:r>
      <w:r w:rsidRPr="00D874BC">
        <w:rPr>
          <w:lang w:eastAsia="es-ES"/>
        </w:rPr>
        <w:t xml:space="preserve"> como objetivo</w:t>
      </w:r>
      <w:r>
        <w:rPr>
          <w:lang w:eastAsia="es-ES"/>
        </w:rPr>
        <w:t xml:space="preserve"> que las entidades objeto de regulación logren implementar de la mejor forma y con las menores cargas y traumatismos posibles, las normas expedidas en la fase anterior.</w:t>
      </w:r>
    </w:p>
    <w:p w:rsidR="00B36B41" w:rsidRDefault="00C42C4D" w:rsidP="00545C9C">
      <w:pPr>
        <w:jc w:val="both"/>
      </w:pPr>
      <w:r w:rsidRPr="003376D2">
        <w:rPr>
          <w:b/>
        </w:rPr>
        <w:t>Plan</w:t>
      </w:r>
      <w:r w:rsidR="008B5ACC" w:rsidRPr="003376D2">
        <w:rPr>
          <w:b/>
        </w:rPr>
        <w:t xml:space="preserve">eación </w:t>
      </w:r>
      <w:r w:rsidR="00D874BC" w:rsidRPr="003376D2">
        <w:rPr>
          <w:b/>
        </w:rPr>
        <w:t xml:space="preserve">y seguimiento </w:t>
      </w:r>
      <w:r w:rsidRPr="003376D2">
        <w:rPr>
          <w:b/>
        </w:rPr>
        <w:t>de</w:t>
      </w:r>
      <w:r w:rsidR="008B5ACC" w:rsidRPr="003376D2">
        <w:rPr>
          <w:b/>
        </w:rPr>
        <w:t xml:space="preserve"> la</w:t>
      </w:r>
      <w:r w:rsidRPr="003376D2">
        <w:rPr>
          <w:b/>
        </w:rPr>
        <w:t xml:space="preserve"> transición. </w:t>
      </w:r>
      <w:r w:rsidR="00EA7AB9" w:rsidRPr="00EA7AB9">
        <w:t>S</w:t>
      </w:r>
      <w:r>
        <w:t>e elaborará el plan de transición (Aplicación por primera vez)</w:t>
      </w:r>
      <w:r w:rsidR="004F7EF7">
        <w:t>.</w:t>
      </w:r>
      <w:r w:rsidR="00B36B41">
        <w:t xml:space="preserve"> Este plan tratará de asegurar la comparabilidad de la información, teniendo en</w:t>
      </w:r>
      <w:r w:rsidR="00617239">
        <w:t>cuent</w:t>
      </w:r>
      <w:r w:rsidR="00A91560">
        <w:t>r</w:t>
      </w:r>
      <w:r w:rsidR="00617239">
        <w:t>a</w:t>
      </w:r>
      <w:r w:rsidR="00B36B41">
        <w:t xml:space="preserve"> las restricciones de costo beneficio de la información.</w:t>
      </w:r>
    </w:p>
    <w:p w:rsidR="002C2F8F" w:rsidRPr="002C2F8F" w:rsidRDefault="002C2F8F" w:rsidP="00545C9C">
      <w:pPr>
        <w:jc w:val="both"/>
      </w:pPr>
      <w:r w:rsidRPr="002C2F8F">
        <w:t xml:space="preserve">Se tendrán en cuenta </w:t>
      </w:r>
      <w:r>
        <w:t xml:space="preserve">los nuevos requerimientos sobre reportes y los diagnósticos sobre sistemas de información </w:t>
      </w:r>
      <w:r w:rsidR="00765254">
        <w:t>realizados</w:t>
      </w:r>
      <w:r>
        <w:t xml:space="preserve"> en la fase preparatoria.</w:t>
      </w:r>
    </w:p>
    <w:p w:rsidR="00C42C4D" w:rsidRDefault="004F7EF7" w:rsidP="00545C9C">
      <w:pPr>
        <w:jc w:val="both"/>
      </w:pPr>
      <w:r>
        <w:t xml:space="preserve">A manera de ejemplo, </w:t>
      </w:r>
      <w:r w:rsidR="0045709A">
        <w:t>puede</w:t>
      </w:r>
      <w:r>
        <w:t xml:space="preserve"> mencionarse que en Alemania </w:t>
      </w:r>
      <w:r w:rsidR="00576EE5">
        <w:t xml:space="preserve">se permitió </w:t>
      </w:r>
      <w:r w:rsidR="00765254">
        <w:t xml:space="preserve">a las compañías listadas </w:t>
      </w:r>
      <w:r w:rsidR="00576EE5">
        <w:t>la aplicación anticipada de la</w:t>
      </w:r>
      <w:r w:rsidR="00765254">
        <w:t>s normas sobre</w:t>
      </w:r>
      <w:r w:rsidR="00576EE5">
        <w:t xml:space="preserve"> preparación de estados financieros consolidados, ya que estos se presentaban generalmente con propósitos informativos.</w:t>
      </w:r>
      <w:r w:rsidR="00576EE5">
        <w:rPr>
          <w:rStyle w:val="Refdenotaalpie"/>
        </w:rPr>
        <w:footnoteReference w:id="57"/>
      </w:r>
    </w:p>
    <w:p w:rsidR="006D636A" w:rsidRDefault="006D636A" w:rsidP="00545C9C">
      <w:pPr>
        <w:jc w:val="both"/>
      </w:pPr>
      <w:r>
        <w:t>Se coordinará con las entidades de supervisión los reportes que deben ser presentados para verificar el progreso del plan de implementación.</w:t>
      </w:r>
    </w:p>
    <w:p w:rsidR="0050280A" w:rsidRPr="003376D2" w:rsidRDefault="0050280A" w:rsidP="00545C9C">
      <w:pPr>
        <w:jc w:val="both"/>
        <w:rPr>
          <w:b/>
        </w:rPr>
      </w:pPr>
      <w:r w:rsidRPr="003376D2">
        <w:rPr>
          <w:b/>
        </w:rPr>
        <w:t>Difusión y capacitación</w:t>
      </w:r>
      <w:r w:rsidR="002C2F8F" w:rsidRPr="003376D2">
        <w:rPr>
          <w:b/>
        </w:rPr>
        <w:t xml:space="preserve">: </w:t>
      </w:r>
      <w:r>
        <w:t xml:space="preserve">Por mandato de la Ley, el Consejo está encargado de </w:t>
      </w:r>
      <w:r w:rsidRPr="003376D2">
        <w:rPr>
          <w:b/>
        </w:rPr>
        <w:t>promover</w:t>
      </w:r>
      <w:r>
        <w:t xml:space="preserve"> el proceso de difusión y capacitación de las normas de información financiera y aseguramiento de la información. </w:t>
      </w:r>
      <w:r w:rsidR="00765254">
        <w:t>Aunque s</w:t>
      </w:r>
      <w:r w:rsidR="002C2F8F">
        <w:t xml:space="preserve">e </w:t>
      </w:r>
      <w:r w:rsidR="00765254">
        <w:t>propone</w:t>
      </w:r>
      <w:r w:rsidR="002C2F8F">
        <w:t xml:space="preserve"> que la capacitación sea un proceso paralelo durante todo el plan, la difusión y entrenamiento sobre los cambios en la regulación se intensificar</w:t>
      </w:r>
      <w:r w:rsidR="00765254">
        <w:t>ía</w:t>
      </w:r>
      <w:r w:rsidR="002C2F8F">
        <w:t xml:space="preserve">n en esta fase. </w:t>
      </w:r>
      <w:r>
        <w:t xml:space="preserve">Las labores de capacitación deberán ser </w:t>
      </w:r>
      <w:r w:rsidRPr="003376D2">
        <w:rPr>
          <w:b/>
        </w:rPr>
        <w:t>desarrolladas</w:t>
      </w:r>
      <w:r>
        <w:t xml:space="preserve"> por aquellas entidades que tienen la </w:t>
      </w:r>
      <w:r w:rsidR="00EC2B32">
        <w:t>autorización</w:t>
      </w:r>
      <w:r w:rsidR="0045709A">
        <w:t xml:space="preserve"> legal</w:t>
      </w:r>
      <w:r w:rsidR="00EC2B32">
        <w:t xml:space="preserve">, la </w:t>
      </w:r>
      <w:r>
        <w:t xml:space="preserve">experiencia y los medios para hacerlo, con el apoyo y la participación de los miembros del Consejo. </w:t>
      </w:r>
      <w:r w:rsidR="00EC2B32">
        <w:t>Entre otras cosas, e</w:t>
      </w:r>
      <w:r w:rsidR="002C2F8F">
        <w:t xml:space="preserve">l Consejo promoverá la modificación de las </w:t>
      </w:r>
      <w:r w:rsidR="00EC2B32">
        <w:t>asignaturas sobre contabilidad</w:t>
      </w:r>
      <w:r w:rsidR="00A91560">
        <w:t xml:space="preserve"> y</w:t>
      </w:r>
      <w:r w:rsidR="00EC2B32">
        <w:t xml:space="preserve"> </w:t>
      </w:r>
      <w:r w:rsidR="002C2F8F">
        <w:t xml:space="preserve">aseguramiento de la información en las instituciones de educación. </w:t>
      </w:r>
      <w:r w:rsidR="00DF10AD">
        <w:t xml:space="preserve">Con todo, siguiendo el ejemplo de organismos internacionales y extranjeros, la principal contribución del </w:t>
      </w:r>
      <w:r w:rsidR="00DF10AD" w:rsidRPr="00DF10AD">
        <w:rPr>
          <w:smallCaps/>
        </w:rPr>
        <w:t>ctcp</w:t>
      </w:r>
      <w:r w:rsidR="00DF10AD">
        <w:t xml:space="preserve"> debe consistir en la preparación de materiales, tales como interpretaciones, ejemplos, guías, textos</w:t>
      </w:r>
      <w:r w:rsidR="00F27574">
        <w:t>, diapositivas</w:t>
      </w:r>
      <w:r w:rsidR="00DF10AD">
        <w:t xml:space="preserve"> para conferencias</w:t>
      </w:r>
      <w:r w:rsidR="00F27574">
        <w:t>, cursos electrónicos, cartillas de presentación, etc.</w:t>
      </w:r>
    </w:p>
    <w:p w:rsidR="0050280A" w:rsidRDefault="0050280A" w:rsidP="00545C9C">
      <w:pPr>
        <w:jc w:val="both"/>
      </w:pPr>
      <w:r>
        <w:lastRenderedPageBreak/>
        <w:t>La capacitación debe ir encaminada a todos los actores interesados en la regulación</w:t>
      </w:r>
      <w:r w:rsidR="00B36B41">
        <w:t xml:space="preserve"> y debe ser planeada en distintos escenarios</w:t>
      </w:r>
      <w:r>
        <w:t>: Preparadores, us</w:t>
      </w:r>
      <w:r w:rsidR="00EC2B32">
        <w:t>uarios, auditores, académicos, a</w:t>
      </w:r>
      <w:r>
        <w:t>gencias gubernamentales, entre otros.</w:t>
      </w:r>
    </w:p>
    <w:p w:rsidR="00B50DA4" w:rsidRDefault="00B50DA4" w:rsidP="00545C9C">
      <w:pPr>
        <w:jc w:val="both"/>
      </w:pPr>
      <w:r>
        <w:t>En las páginas  4 y5 del plan de Canadá, atrás citado, se presenta una programación que integra la fase de construcción con la de implementación, así:</w:t>
      </w:r>
    </w:p>
    <w:p w:rsidR="00B50DA4" w:rsidRPr="00545C9C" w:rsidRDefault="00B50DA4" w:rsidP="00545C9C">
      <w:pPr>
        <w:widowControl w:val="0"/>
        <w:autoSpaceDE w:val="0"/>
        <w:autoSpaceDN w:val="0"/>
        <w:adjustRightInd w:val="0"/>
        <w:spacing w:before="85" w:after="0" w:line="276" w:lineRule="exact"/>
        <w:ind w:left="1800"/>
        <w:jc w:val="both"/>
        <w:rPr>
          <w:rFonts w:cstheme="minorHAnsi"/>
          <w:color w:val="000000"/>
          <w:spacing w:val="-5"/>
          <w:lang w:val="en-US"/>
        </w:rPr>
      </w:pPr>
      <w:r w:rsidRPr="00545C9C">
        <w:rPr>
          <w:rFonts w:cstheme="minorHAnsi"/>
          <w:color w:val="000000"/>
          <w:spacing w:val="-2"/>
          <w:lang w:val="en-US"/>
        </w:rPr>
        <w:t xml:space="preserve">“10. The following is a tentative timeline of key events for reporting enterprises in adopting </w:t>
      </w:r>
      <w:r w:rsidRPr="00545C9C">
        <w:rPr>
          <w:rFonts w:cstheme="minorHAnsi"/>
          <w:color w:val="000000"/>
          <w:spacing w:val="-4"/>
          <w:lang w:val="en-US"/>
        </w:rPr>
        <w:t>IFRSs, based on current assumptions in the Strategic Plan and an assumed change</w:t>
      </w:r>
      <w:r w:rsidR="00A91560">
        <w:rPr>
          <w:rFonts w:cstheme="minorHAnsi"/>
          <w:color w:val="000000"/>
          <w:spacing w:val="-4"/>
          <w:lang w:val="en-US"/>
        </w:rPr>
        <w:t xml:space="preserve"> </w:t>
      </w:r>
      <w:r w:rsidRPr="00545C9C">
        <w:rPr>
          <w:rFonts w:cstheme="minorHAnsi"/>
          <w:color w:val="000000"/>
          <w:spacing w:val="-4"/>
          <w:lang w:val="en-US"/>
        </w:rPr>
        <w:t>over of</w:t>
      </w:r>
      <w:r w:rsidR="00A91560">
        <w:rPr>
          <w:rFonts w:cstheme="minorHAnsi"/>
          <w:color w:val="000000"/>
          <w:spacing w:val="-4"/>
          <w:lang w:val="en-US"/>
        </w:rPr>
        <w:t xml:space="preserve"> </w:t>
      </w:r>
      <w:r w:rsidRPr="00545C9C">
        <w:rPr>
          <w:rFonts w:cstheme="minorHAnsi"/>
          <w:color w:val="000000"/>
          <w:spacing w:val="-2"/>
          <w:lang w:val="en-US"/>
        </w:rPr>
        <w:t xml:space="preserve">January 1, 2011. For illustrative purposes, this timeline assumes an enterprise with a </w:t>
      </w:r>
      <w:r w:rsidRPr="00545C9C">
        <w:rPr>
          <w:rFonts w:cstheme="minorHAnsi"/>
          <w:color w:val="000000"/>
          <w:spacing w:val="-5"/>
          <w:lang w:val="en-US"/>
        </w:rPr>
        <w:t xml:space="preserve">calendar year end. </w:t>
      </w:r>
    </w:p>
    <w:p w:rsidR="00B50DA4" w:rsidRPr="00545C9C" w:rsidRDefault="00B50DA4" w:rsidP="00545C9C">
      <w:pPr>
        <w:widowControl w:val="0"/>
        <w:tabs>
          <w:tab w:val="left" w:pos="4319"/>
        </w:tabs>
        <w:autoSpaceDE w:val="0"/>
        <w:autoSpaceDN w:val="0"/>
        <w:adjustRightInd w:val="0"/>
        <w:spacing w:before="250" w:after="0" w:line="276" w:lineRule="exact"/>
        <w:ind w:left="4248" w:hanging="2088"/>
        <w:jc w:val="both"/>
        <w:rPr>
          <w:rFonts w:cstheme="minorHAnsi"/>
          <w:color w:val="000000"/>
          <w:spacing w:val="-3"/>
          <w:lang w:val="en-US"/>
        </w:rPr>
      </w:pPr>
      <w:r w:rsidRPr="00545C9C">
        <w:rPr>
          <w:rFonts w:cstheme="minorHAnsi"/>
          <w:color w:val="000000"/>
          <w:spacing w:val="-3"/>
          <w:lang w:val="en-US"/>
        </w:rPr>
        <w:t>2006-2008</w:t>
      </w:r>
      <w:r w:rsidRPr="00545C9C">
        <w:rPr>
          <w:rFonts w:cstheme="minorHAnsi"/>
          <w:color w:val="000000"/>
          <w:spacing w:val="-3"/>
          <w:lang w:val="en-US"/>
        </w:rPr>
        <w:tab/>
        <w:t>Obtain training and thorough knowledge of IFRS</w:t>
      </w:r>
    </w:p>
    <w:p w:rsidR="00B50DA4" w:rsidRPr="00545C9C" w:rsidRDefault="00B50DA4" w:rsidP="00545C9C">
      <w:pPr>
        <w:widowControl w:val="0"/>
        <w:tabs>
          <w:tab w:val="left" w:pos="4319"/>
        </w:tabs>
        <w:autoSpaceDE w:val="0"/>
        <w:autoSpaceDN w:val="0"/>
        <w:adjustRightInd w:val="0"/>
        <w:spacing w:before="258" w:after="0" w:line="276" w:lineRule="exact"/>
        <w:ind w:left="2160"/>
        <w:jc w:val="both"/>
        <w:rPr>
          <w:rFonts w:cstheme="minorHAnsi"/>
          <w:color w:val="000000"/>
          <w:spacing w:val="-3"/>
          <w:lang w:val="en-US"/>
        </w:rPr>
      </w:pPr>
      <w:r w:rsidRPr="00545C9C">
        <w:rPr>
          <w:rFonts w:cstheme="minorHAnsi"/>
          <w:color w:val="000000"/>
          <w:spacing w:val="-3"/>
          <w:lang w:val="en-US"/>
        </w:rPr>
        <w:t>By early 2008</w:t>
      </w:r>
      <w:r w:rsidRPr="00545C9C">
        <w:rPr>
          <w:rFonts w:cstheme="minorHAnsi"/>
          <w:color w:val="000000"/>
          <w:spacing w:val="-3"/>
          <w:lang w:val="en-US"/>
        </w:rPr>
        <w:tab/>
        <w:t>Progress review by AcSB</w:t>
      </w:r>
    </w:p>
    <w:p w:rsidR="00B50DA4" w:rsidRPr="00545C9C" w:rsidRDefault="00B50DA4" w:rsidP="00545C9C">
      <w:pPr>
        <w:widowControl w:val="0"/>
        <w:tabs>
          <w:tab w:val="left" w:pos="4320"/>
        </w:tabs>
        <w:autoSpaceDE w:val="0"/>
        <w:autoSpaceDN w:val="0"/>
        <w:adjustRightInd w:val="0"/>
        <w:spacing w:before="108" w:after="0" w:line="276" w:lineRule="exact"/>
        <w:ind w:left="4248" w:hanging="2088"/>
        <w:jc w:val="both"/>
        <w:rPr>
          <w:rFonts w:cstheme="minorHAnsi"/>
          <w:color w:val="000000"/>
          <w:spacing w:val="-3"/>
          <w:lang w:val="en-US"/>
        </w:rPr>
      </w:pPr>
      <w:bookmarkStart w:id="13" w:name="Pg5"/>
      <w:bookmarkEnd w:id="13"/>
      <w:r w:rsidRPr="00545C9C">
        <w:rPr>
          <w:rFonts w:cstheme="minorHAnsi"/>
          <w:color w:val="000000"/>
          <w:spacing w:val="-3"/>
          <w:lang w:val="en-US"/>
        </w:rPr>
        <w:t>Early 2008</w:t>
      </w:r>
      <w:r w:rsidRPr="00545C9C">
        <w:rPr>
          <w:rFonts w:cstheme="minorHAnsi"/>
          <w:color w:val="000000"/>
          <w:spacing w:val="-3"/>
          <w:lang w:val="en-US"/>
        </w:rPr>
        <w:tab/>
        <w:t xml:space="preserve">Changeover timing to be announced by the AcSB following progress review </w:t>
      </w:r>
    </w:p>
    <w:p w:rsidR="00B50DA4" w:rsidRPr="00545C9C" w:rsidRDefault="00B50DA4" w:rsidP="00545C9C">
      <w:pPr>
        <w:widowControl w:val="0"/>
        <w:tabs>
          <w:tab w:val="left" w:pos="4320"/>
        </w:tabs>
        <w:autoSpaceDE w:val="0"/>
        <w:autoSpaceDN w:val="0"/>
        <w:adjustRightInd w:val="0"/>
        <w:spacing w:before="272" w:after="0" w:line="276" w:lineRule="exact"/>
        <w:ind w:left="4248" w:hanging="2088"/>
        <w:jc w:val="both"/>
        <w:rPr>
          <w:rFonts w:cstheme="minorHAnsi"/>
          <w:color w:val="000000"/>
          <w:spacing w:val="-3"/>
          <w:lang w:val="en-US"/>
        </w:rPr>
      </w:pPr>
      <w:r w:rsidRPr="00545C9C">
        <w:rPr>
          <w:rFonts w:cstheme="minorHAnsi"/>
          <w:color w:val="000000"/>
          <w:spacing w:val="-3"/>
          <w:lang w:val="en-US"/>
        </w:rPr>
        <w:t>2008</w:t>
      </w:r>
      <w:r w:rsidRPr="00545C9C">
        <w:rPr>
          <w:rFonts w:cstheme="minorHAnsi"/>
          <w:color w:val="000000"/>
          <w:spacing w:val="-3"/>
          <w:lang w:val="en-US"/>
        </w:rPr>
        <w:tab/>
        <w:t xml:space="preserve">Enterprises assess accounting policies with reference to IFRSs and develop a plan for convergence </w:t>
      </w:r>
    </w:p>
    <w:p w:rsidR="00B50DA4" w:rsidRPr="00545C9C" w:rsidRDefault="00B50DA4" w:rsidP="00545C9C">
      <w:pPr>
        <w:widowControl w:val="0"/>
        <w:tabs>
          <w:tab w:val="left" w:pos="4319"/>
        </w:tabs>
        <w:autoSpaceDE w:val="0"/>
        <w:autoSpaceDN w:val="0"/>
        <w:adjustRightInd w:val="0"/>
        <w:spacing w:before="244" w:after="0" w:line="276" w:lineRule="exact"/>
        <w:ind w:left="4248" w:hanging="2088"/>
        <w:jc w:val="both"/>
        <w:rPr>
          <w:rFonts w:cstheme="minorHAnsi"/>
          <w:color w:val="000000"/>
          <w:spacing w:val="-5"/>
          <w:lang w:val="en-US"/>
        </w:rPr>
      </w:pPr>
      <w:r w:rsidRPr="00545C9C">
        <w:rPr>
          <w:rFonts w:cstheme="minorHAnsi"/>
          <w:color w:val="000000"/>
          <w:spacing w:val="-3"/>
          <w:lang w:val="en-US"/>
        </w:rPr>
        <w:t xml:space="preserve">December 31, 2008 </w:t>
      </w:r>
      <w:r w:rsidRPr="00545C9C">
        <w:rPr>
          <w:rFonts w:cstheme="minorHAnsi"/>
          <w:color w:val="000000"/>
          <w:spacing w:val="-3"/>
          <w:lang w:val="en-US"/>
        </w:rPr>
        <w:tab/>
      </w:r>
      <w:r w:rsidRPr="00545C9C">
        <w:rPr>
          <w:rFonts w:cstheme="minorHAnsi"/>
          <w:color w:val="000000"/>
          <w:spacing w:val="-5"/>
          <w:lang w:val="en-US"/>
        </w:rPr>
        <w:t xml:space="preserve">Disclosure of an enterprise's plan for convergence and what effects the enterprise anticipates will arise with the change to IFRS (see paragraph 29 of this document) </w:t>
      </w:r>
    </w:p>
    <w:p w:rsidR="00B50DA4" w:rsidRPr="00545C9C" w:rsidRDefault="00B50DA4" w:rsidP="00545C9C">
      <w:pPr>
        <w:widowControl w:val="0"/>
        <w:tabs>
          <w:tab w:val="left" w:pos="4319"/>
        </w:tabs>
        <w:autoSpaceDE w:val="0"/>
        <w:autoSpaceDN w:val="0"/>
        <w:adjustRightInd w:val="0"/>
        <w:spacing w:before="262" w:after="0" w:line="276" w:lineRule="exact"/>
        <w:ind w:left="4248" w:hanging="2088"/>
        <w:jc w:val="both"/>
        <w:rPr>
          <w:rFonts w:cstheme="minorHAnsi"/>
          <w:color w:val="000000"/>
          <w:spacing w:val="-3"/>
          <w:lang w:val="en-US"/>
        </w:rPr>
      </w:pPr>
      <w:r w:rsidRPr="00545C9C">
        <w:rPr>
          <w:rFonts w:cstheme="minorHAnsi"/>
          <w:color w:val="000000"/>
          <w:spacing w:val="-3"/>
          <w:lang w:val="en-US"/>
        </w:rPr>
        <w:t>December 31, 2009</w:t>
      </w:r>
      <w:r w:rsidRPr="00545C9C">
        <w:rPr>
          <w:rFonts w:cstheme="minorHAnsi"/>
          <w:color w:val="000000"/>
          <w:spacing w:val="-3"/>
          <w:lang w:val="en-US"/>
        </w:rPr>
        <w:tab/>
        <w:t>Same disclosure required as in 2008, but with a greater degree of quantification of the effects of the change to IFRSs (see paragraph 29 of this document)</w:t>
      </w:r>
    </w:p>
    <w:p w:rsidR="00B50DA4" w:rsidRPr="00545C9C" w:rsidRDefault="00B50DA4" w:rsidP="00545C9C">
      <w:pPr>
        <w:widowControl w:val="0"/>
        <w:tabs>
          <w:tab w:val="left" w:pos="4320"/>
        </w:tabs>
        <w:autoSpaceDE w:val="0"/>
        <w:autoSpaceDN w:val="0"/>
        <w:adjustRightInd w:val="0"/>
        <w:spacing w:before="258" w:after="0" w:line="276" w:lineRule="exact"/>
        <w:ind w:left="4248" w:hanging="2088"/>
        <w:jc w:val="both"/>
        <w:rPr>
          <w:rFonts w:cstheme="minorHAnsi"/>
          <w:color w:val="000000"/>
          <w:spacing w:val="-3"/>
          <w:lang w:val="en-US"/>
        </w:rPr>
      </w:pPr>
      <w:r w:rsidRPr="00545C9C">
        <w:rPr>
          <w:rFonts w:cstheme="minorHAnsi"/>
          <w:color w:val="000000"/>
          <w:spacing w:val="-3"/>
          <w:lang w:val="en-US"/>
        </w:rPr>
        <w:t>January 1, 2010</w:t>
      </w:r>
      <w:r w:rsidRPr="00545C9C">
        <w:rPr>
          <w:rFonts w:cstheme="minorHAnsi"/>
          <w:color w:val="000000"/>
          <w:spacing w:val="-3"/>
          <w:lang w:val="en-US"/>
        </w:rPr>
        <w:tab/>
        <w:t>First year for collection of comparative information for inclusion with 2011 financial statements under new IFRS-based requirements.</w:t>
      </w:r>
    </w:p>
    <w:p w:rsidR="00B50DA4" w:rsidRPr="00545C9C" w:rsidRDefault="00B50DA4" w:rsidP="00545C9C">
      <w:pPr>
        <w:widowControl w:val="0"/>
        <w:tabs>
          <w:tab w:val="left" w:pos="4320"/>
        </w:tabs>
        <w:autoSpaceDE w:val="0"/>
        <w:autoSpaceDN w:val="0"/>
        <w:adjustRightInd w:val="0"/>
        <w:spacing w:before="258" w:after="0" w:line="276" w:lineRule="exact"/>
        <w:ind w:left="4248" w:hanging="2088"/>
        <w:jc w:val="both"/>
        <w:rPr>
          <w:rFonts w:cstheme="minorHAnsi"/>
          <w:color w:val="000000"/>
          <w:spacing w:val="-3"/>
          <w:lang w:val="en-US"/>
        </w:rPr>
      </w:pPr>
      <w:r w:rsidRPr="00545C9C">
        <w:rPr>
          <w:rFonts w:cstheme="minorHAnsi"/>
          <w:color w:val="000000"/>
          <w:spacing w:val="-3"/>
          <w:lang w:val="en-US"/>
        </w:rPr>
        <w:t>December 31, 2010</w:t>
      </w:r>
      <w:r w:rsidRPr="00545C9C">
        <w:rPr>
          <w:rFonts w:cstheme="minorHAnsi"/>
          <w:color w:val="000000"/>
          <w:spacing w:val="-3"/>
          <w:lang w:val="en-US"/>
        </w:rPr>
        <w:tab/>
        <w:t>Last year of reporting under current Canadian GAAP</w:t>
      </w:r>
    </w:p>
    <w:p w:rsidR="00B50DA4" w:rsidRPr="00545C9C" w:rsidRDefault="00B50DA4" w:rsidP="00545C9C">
      <w:pPr>
        <w:widowControl w:val="0"/>
        <w:tabs>
          <w:tab w:val="left" w:pos="4320"/>
        </w:tabs>
        <w:autoSpaceDE w:val="0"/>
        <w:autoSpaceDN w:val="0"/>
        <w:adjustRightInd w:val="0"/>
        <w:spacing w:before="258" w:after="0" w:line="276" w:lineRule="exact"/>
        <w:ind w:left="4248" w:hanging="2088"/>
        <w:jc w:val="both"/>
        <w:rPr>
          <w:rFonts w:cstheme="minorHAnsi"/>
          <w:color w:val="000000"/>
          <w:spacing w:val="-3"/>
          <w:lang w:val="en-US"/>
        </w:rPr>
      </w:pPr>
      <w:r w:rsidRPr="00545C9C">
        <w:rPr>
          <w:rFonts w:cstheme="minorHAnsi"/>
          <w:color w:val="000000"/>
          <w:spacing w:val="-3"/>
          <w:lang w:val="en-US"/>
        </w:rPr>
        <w:t>January 1, 2011</w:t>
      </w:r>
      <w:r w:rsidRPr="00545C9C">
        <w:rPr>
          <w:rFonts w:cstheme="minorHAnsi"/>
          <w:color w:val="000000"/>
          <w:spacing w:val="-3"/>
          <w:lang w:val="en-US"/>
        </w:rPr>
        <w:tab/>
        <w:t>Change</w:t>
      </w:r>
      <w:r w:rsidR="000E2D89">
        <w:rPr>
          <w:rFonts w:cstheme="minorHAnsi"/>
          <w:color w:val="000000"/>
          <w:spacing w:val="-3"/>
          <w:lang w:val="en-US"/>
        </w:rPr>
        <w:t xml:space="preserve"> </w:t>
      </w:r>
      <w:r w:rsidRPr="00545C9C">
        <w:rPr>
          <w:rFonts w:cstheme="minorHAnsi"/>
          <w:color w:val="000000"/>
          <w:spacing w:val="-3"/>
          <w:lang w:val="en-US"/>
        </w:rPr>
        <w:t>over.</w:t>
      </w:r>
      <w:r w:rsidR="000E2D89">
        <w:rPr>
          <w:rFonts w:cstheme="minorHAnsi"/>
          <w:color w:val="000000"/>
          <w:spacing w:val="-3"/>
          <w:lang w:val="en-US"/>
        </w:rPr>
        <w:t xml:space="preserve"> </w:t>
      </w:r>
      <w:r w:rsidRPr="00545C9C">
        <w:rPr>
          <w:rFonts w:cstheme="minorHAnsi"/>
          <w:color w:val="000000"/>
          <w:spacing w:val="-3"/>
          <w:lang w:val="en-US"/>
        </w:rPr>
        <w:t>First year reporting under new IFRS-based standards.</w:t>
      </w:r>
    </w:p>
    <w:p w:rsidR="00B50DA4" w:rsidRPr="00545C9C" w:rsidRDefault="00B50DA4" w:rsidP="00545C9C">
      <w:pPr>
        <w:widowControl w:val="0"/>
        <w:tabs>
          <w:tab w:val="left" w:pos="4318"/>
        </w:tabs>
        <w:autoSpaceDE w:val="0"/>
        <w:autoSpaceDN w:val="0"/>
        <w:adjustRightInd w:val="0"/>
        <w:spacing w:before="258" w:after="0" w:line="276" w:lineRule="exact"/>
        <w:ind w:left="4248" w:hanging="2088"/>
        <w:jc w:val="both"/>
        <w:rPr>
          <w:rFonts w:cstheme="minorHAnsi"/>
          <w:color w:val="000000"/>
          <w:spacing w:val="-3"/>
          <w:lang w:val="en-US"/>
        </w:rPr>
      </w:pPr>
      <w:r w:rsidRPr="00545C9C">
        <w:rPr>
          <w:rFonts w:cstheme="minorHAnsi"/>
          <w:color w:val="000000"/>
          <w:spacing w:val="-3"/>
          <w:lang w:val="en-US"/>
        </w:rPr>
        <w:t>March 31, 2011</w:t>
      </w:r>
      <w:r w:rsidRPr="00545C9C">
        <w:rPr>
          <w:rFonts w:cstheme="minorHAnsi"/>
          <w:color w:val="000000"/>
          <w:spacing w:val="-3"/>
          <w:lang w:val="en-US"/>
        </w:rPr>
        <w:tab/>
        <w:t>Enterprises issuing interim financial statements prepare their first IFRS-based statements for the three months ended March 31, 2011</w:t>
      </w:r>
    </w:p>
    <w:p w:rsidR="00B50DA4" w:rsidRPr="00545C9C" w:rsidRDefault="00B50DA4" w:rsidP="00545C9C">
      <w:pPr>
        <w:widowControl w:val="0"/>
        <w:tabs>
          <w:tab w:val="left" w:pos="4318"/>
        </w:tabs>
        <w:autoSpaceDE w:val="0"/>
        <w:autoSpaceDN w:val="0"/>
        <w:adjustRightInd w:val="0"/>
        <w:spacing w:before="258" w:after="0" w:line="276" w:lineRule="exact"/>
        <w:ind w:left="4248" w:hanging="2088"/>
        <w:jc w:val="both"/>
        <w:rPr>
          <w:rFonts w:cstheme="minorHAnsi"/>
          <w:color w:val="000000"/>
          <w:spacing w:val="-3"/>
          <w:lang w:val="en-US"/>
        </w:rPr>
      </w:pPr>
      <w:r w:rsidRPr="00545C9C">
        <w:rPr>
          <w:rFonts w:cstheme="minorHAnsi"/>
          <w:color w:val="000000"/>
          <w:spacing w:val="-3"/>
          <w:lang w:val="en-US"/>
        </w:rPr>
        <w:lastRenderedPageBreak/>
        <w:t>December 31, 2011</w:t>
      </w:r>
      <w:r w:rsidRPr="00545C9C">
        <w:rPr>
          <w:rFonts w:cstheme="minorHAnsi"/>
          <w:color w:val="000000"/>
          <w:spacing w:val="-3"/>
          <w:lang w:val="en-US"/>
        </w:rPr>
        <w:tab/>
        <w:t>End of first annual reporting period in accordance with new IFRS-based requirements”</w:t>
      </w:r>
    </w:p>
    <w:p w:rsidR="00B36B41" w:rsidRPr="005A1CDD" w:rsidRDefault="00B36B41" w:rsidP="00545C9C">
      <w:pPr>
        <w:pStyle w:val="Ttulo3"/>
        <w:jc w:val="both"/>
        <w:rPr>
          <w:lang w:eastAsia="es-ES"/>
        </w:rPr>
      </w:pPr>
      <w:bookmarkStart w:id="14" w:name="_Toc267647511"/>
      <w:r w:rsidRPr="005A1CDD">
        <w:rPr>
          <w:lang w:eastAsia="es-ES"/>
        </w:rPr>
        <w:t xml:space="preserve">FASE III </w:t>
      </w:r>
      <w:r w:rsidR="002C2F8F" w:rsidRPr="005A1CDD">
        <w:rPr>
          <w:lang w:eastAsia="es-ES"/>
        </w:rPr>
        <w:t xml:space="preserve">–Plan de </w:t>
      </w:r>
      <w:r w:rsidR="005A1CDD" w:rsidRPr="005A1CDD">
        <w:rPr>
          <w:lang w:eastAsia="es-ES"/>
        </w:rPr>
        <w:t>s</w:t>
      </w:r>
      <w:r w:rsidR="002C2F8F" w:rsidRPr="005A1CDD">
        <w:rPr>
          <w:lang w:eastAsia="es-ES"/>
        </w:rPr>
        <w:t>eguimiento</w:t>
      </w:r>
      <w:bookmarkEnd w:id="14"/>
    </w:p>
    <w:p w:rsidR="00C42C4D" w:rsidRDefault="00C42C4D" w:rsidP="00545C9C">
      <w:pPr>
        <w:pStyle w:val="Prrafodelista"/>
        <w:autoSpaceDE w:val="0"/>
        <w:autoSpaceDN w:val="0"/>
        <w:adjustRightInd w:val="0"/>
        <w:spacing w:after="0" w:line="240" w:lineRule="auto"/>
        <w:jc w:val="both"/>
        <w:rPr>
          <w:b/>
        </w:rPr>
      </w:pPr>
    </w:p>
    <w:p w:rsidR="002F00F7" w:rsidRPr="00EB6481" w:rsidRDefault="002C2F8F" w:rsidP="00EB6481">
      <w:pPr>
        <w:rPr>
          <w:b/>
          <w:i/>
        </w:rPr>
      </w:pPr>
      <w:r w:rsidRPr="00EB6481">
        <w:rPr>
          <w:b/>
        </w:rPr>
        <w:t xml:space="preserve">Planeación de </w:t>
      </w:r>
      <w:r w:rsidR="0050280A" w:rsidRPr="00EB6481">
        <w:rPr>
          <w:b/>
        </w:rPr>
        <w:t xml:space="preserve">la </w:t>
      </w:r>
      <w:r w:rsidR="00155455" w:rsidRPr="00EB6481">
        <w:rPr>
          <w:b/>
        </w:rPr>
        <w:t>revisión</w:t>
      </w:r>
      <w:r w:rsidR="006E52F5" w:rsidRPr="00EB6481">
        <w:rPr>
          <w:b/>
        </w:rPr>
        <w:t xml:space="preserve"> futura de los estándares: </w:t>
      </w:r>
      <w:r w:rsidR="002F00F7" w:rsidRPr="00EB6481">
        <w:t>El plan de trabajo debería también considerar la forma de seguimiento y revisión de las normas propuestas, una vez estas hayan sido implementadas:</w:t>
      </w:r>
    </w:p>
    <w:p w:rsidR="000A6123" w:rsidRPr="00EB6481" w:rsidRDefault="006E52F5" w:rsidP="00EB6481">
      <w:pPr>
        <w:ind w:left="708"/>
        <w:rPr>
          <w:b/>
          <w:i/>
          <w:lang w:val="en-US"/>
        </w:rPr>
      </w:pPr>
      <w:r w:rsidRPr="00EB6481">
        <w:rPr>
          <w:i/>
          <w:lang w:val="en-US"/>
        </w:rPr>
        <w:t>“</w:t>
      </w:r>
      <w:r w:rsidR="000A6123" w:rsidRPr="00EB6481">
        <w:rPr>
          <w:i/>
          <w:lang w:val="en-US"/>
        </w:rPr>
        <w:t>Country authorities have often had difficulty keeping their local version</w:t>
      </w:r>
      <w:r w:rsidRPr="00EB6481">
        <w:rPr>
          <w:i/>
          <w:lang w:val="en-US"/>
        </w:rPr>
        <w:t xml:space="preserve"> of IFRS current with </w:t>
      </w:r>
      <w:r w:rsidR="000A6123" w:rsidRPr="00EB6481">
        <w:rPr>
          <w:i/>
          <w:lang w:val="en-US"/>
        </w:rPr>
        <w:t>international standards as issued by IASB. In some</w:t>
      </w:r>
      <w:r w:rsidR="00C87BF6">
        <w:rPr>
          <w:i/>
          <w:lang w:val="en-US"/>
        </w:rPr>
        <w:t xml:space="preserve"> </w:t>
      </w:r>
      <w:r w:rsidR="000A6123" w:rsidRPr="00EB6481">
        <w:rPr>
          <w:i/>
          <w:lang w:val="en-US"/>
        </w:rPr>
        <w:t>countries, adoption has been viewed as a one- time event, not as a process.</w:t>
      </w:r>
      <w:r w:rsidR="00C87BF6">
        <w:rPr>
          <w:i/>
          <w:lang w:val="en-US"/>
        </w:rPr>
        <w:t xml:space="preserve"> </w:t>
      </w:r>
      <w:r w:rsidR="000A6123" w:rsidRPr="00EB6481">
        <w:rPr>
          <w:i/>
          <w:lang w:val="en-US"/>
        </w:rPr>
        <w:t>IFRS are a “moving target:” new standards are issued and old standards are</w:t>
      </w:r>
      <w:r w:rsidR="00C87BF6">
        <w:rPr>
          <w:i/>
          <w:lang w:val="en-US"/>
        </w:rPr>
        <w:t xml:space="preserve"> </w:t>
      </w:r>
      <w:r w:rsidR="000A6123" w:rsidRPr="00EB6481">
        <w:rPr>
          <w:i/>
          <w:lang w:val="en-US"/>
        </w:rPr>
        <w:t>updated continually to keep up with market conditions and demands.</w:t>
      </w:r>
      <w:r w:rsidRPr="00EB6481">
        <w:rPr>
          <w:i/>
          <w:lang w:val="en-US"/>
        </w:rPr>
        <w:t>”</w:t>
      </w:r>
      <w:r w:rsidRPr="002F00F7">
        <w:rPr>
          <w:rStyle w:val="Refdenotaalpie"/>
          <w:rFonts w:cs="Berling-Roman"/>
          <w:b/>
          <w:i/>
          <w:color w:val="231F20"/>
          <w:szCs w:val="24"/>
        </w:rPr>
        <w:footnoteReference w:id="58"/>
      </w:r>
    </w:p>
    <w:p w:rsidR="000B6450" w:rsidRDefault="00B36B41" w:rsidP="00EB6481">
      <w:r>
        <w:t>El</w:t>
      </w:r>
      <w:r w:rsidR="002C2F8F">
        <w:t xml:space="preserve"> plan de </w:t>
      </w:r>
      <w:r>
        <w:t xml:space="preserve">seguimiento incorporará la revisión de la aplicación de las normas expedidas y tendrá en cuenta los cambios en el entorno en que fue expedida la regulación, así como de los órganos asesores creados para </w:t>
      </w:r>
      <w:r w:rsidR="002C2F8F">
        <w:t>monitorear y ayudar en la implementación.</w:t>
      </w:r>
    </w:p>
    <w:p w:rsidR="00F27574" w:rsidRDefault="00F27574" w:rsidP="00EB6481">
      <w:r>
        <w:t xml:space="preserve">En esta etapa el </w:t>
      </w:r>
      <w:r w:rsidRPr="00F27574">
        <w:rPr>
          <w:smallCaps/>
        </w:rPr>
        <w:t>ctcp</w:t>
      </w:r>
      <w:r>
        <w:t xml:space="preserve"> debería basarse en la labor de los supervisores, definida en el marco de coordinación entre entidades del Estado.</w:t>
      </w:r>
    </w:p>
    <w:p w:rsidR="00F27574" w:rsidRDefault="00F27574" w:rsidP="00EB6481">
      <w:r>
        <w:t>Atentamente,</w:t>
      </w:r>
    </w:p>
    <w:p w:rsidR="00F27574" w:rsidRDefault="00F27574" w:rsidP="00EB6481"/>
    <w:p w:rsidR="00F27574" w:rsidRDefault="00F27574" w:rsidP="00EB6481"/>
    <w:p w:rsidR="00F27574" w:rsidRDefault="00F27574" w:rsidP="00724BA7">
      <w:pPr>
        <w:pStyle w:val="Sinespaciado"/>
      </w:pPr>
      <w:r>
        <w:t>Braulio Adriano Rodríguez Castro</w:t>
      </w:r>
    </w:p>
    <w:p w:rsidR="00F27574" w:rsidRDefault="00F27574" w:rsidP="00724BA7">
      <w:pPr>
        <w:pStyle w:val="Sinespaciado"/>
      </w:pPr>
      <w:r>
        <w:t>Director</w:t>
      </w:r>
    </w:p>
    <w:p w:rsidR="00F27574" w:rsidRDefault="00F27574" w:rsidP="00724BA7">
      <w:pPr>
        <w:pStyle w:val="Sinespaciado"/>
      </w:pPr>
      <w:r>
        <w:t>Departamento de Ciencias Contables</w:t>
      </w:r>
    </w:p>
    <w:p w:rsidR="00F27574" w:rsidRDefault="00F27574" w:rsidP="00724BA7">
      <w:pPr>
        <w:pStyle w:val="Sinespaciado"/>
      </w:pPr>
      <w:r>
        <w:t xml:space="preserve">Facultad de Ciencias Económicas y </w:t>
      </w:r>
      <w:r w:rsidR="00724BA7">
        <w:t>Administrativas</w:t>
      </w:r>
    </w:p>
    <w:p w:rsidR="00F27574" w:rsidRDefault="00F27574" w:rsidP="00724BA7">
      <w:pPr>
        <w:pStyle w:val="Sinespaciado"/>
      </w:pPr>
      <w:r>
        <w:t>Pontificia Universidad Javeriana</w:t>
      </w:r>
    </w:p>
    <w:p w:rsidR="00F27574" w:rsidRDefault="00F27574" w:rsidP="00724BA7">
      <w:pPr>
        <w:pStyle w:val="Sinespaciado"/>
      </w:pPr>
      <w:r>
        <w:t>Calle 40 número 6 – 23, Bogotá, Colombia</w:t>
      </w:r>
    </w:p>
    <w:p w:rsidR="00C87BF6" w:rsidRDefault="00C87BF6" w:rsidP="00724BA7">
      <w:pPr>
        <w:pStyle w:val="Sinespaciado"/>
      </w:pPr>
      <w:r>
        <w:t>Teléfono (57)(1)3208320,51</w:t>
      </w:r>
      <w:r w:rsidR="00762848">
        <w:t>09</w:t>
      </w:r>
    </w:p>
    <w:p w:rsidR="00C27724" w:rsidRDefault="00C27724" w:rsidP="00724BA7">
      <w:pPr>
        <w:pStyle w:val="Ttulo1"/>
      </w:pPr>
      <w:bookmarkStart w:id="15" w:name="_Toc267647512"/>
      <w:r>
        <w:lastRenderedPageBreak/>
        <w:t xml:space="preserve">Anexo 1 </w:t>
      </w:r>
      <w:r w:rsidR="00724BA7">
        <w:t>–Lista de profesores que hicieron aportes al presente documento</w:t>
      </w:r>
      <w:bookmarkEnd w:id="15"/>
    </w:p>
    <w:p w:rsidR="00724BA7" w:rsidRPr="00724BA7" w:rsidRDefault="00724BA7" w:rsidP="00724BA7"/>
    <w:p w:rsidR="00F27574" w:rsidRPr="006C01EF" w:rsidRDefault="00F27574" w:rsidP="00F27574">
      <w:r w:rsidRPr="006C01EF">
        <w:t xml:space="preserve">Abelardo Ramírez </w:t>
      </w:r>
      <w:r w:rsidR="004B0CF3">
        <w:t>Rodríguez</w:t>
      </w:r>
    </w:p>
    <w:p w:rsidR="00F27574" w:rsidRPr="006C01EF" w:rsidRDefault="00F27574" w:rsidP="00F27574">
      <w:r w:rsidRPr="006C01EF">
        <w:t>Andrés Felipe Rubiano</w:t>
      </w:r>
      <w:r w:rsidR="004B0CF3">
        <w:t xml:space="preserve"> Pulido</w:t>
      </w:r>
    </w:p>
    <w:p w:rsidR="00F27574" w:rsidRPr="006C01EF" w:rsidRDefault="00F27574" w:rsidP="00F27574">
      <w:r w:rsidRPr="006C01EF">
        <w:t>Aracely Sánchez</w:t>
      </w:r>
      <w:r w:rsidR="004B0CF3">
        <w:t xml:space="preserve"> Serna</w:t>
      </w:r>
      <w:r w:rsidRPr="006C01EF">
        <w:t>.</w:t>
      </w:r>
    </w:p>
    <w:p w:rsidR="00F27574" w:rsidRPr="006C01EF" w:rsidRDefault="00F27574" w:rsidP="00F27574">
      <w:r w:rsidRPr="006C01EF">
        <w:t>Braulio Rodríguez</w:t>
      </w:r>
      <w:r w:rsidR="004B0CF3">
        <w:t xml:space="preserve"> Castro</w:t>
      </w:r>
    </w:p>
    <w:p w:rsidR="00F27574" w:rsidRPr="006C01EF" w:rsidRDefault="00F27574" w:rsidP="00F27574">
      <w:r>
        <w:t>Cé</w:t>
      </w:r>
      <w:r w:rsidRPr="006C01EF">
        <w:t>sar Augusto Salazar</w:t>
      </w:r>
      <w:r w:rsidR="004B0CF3">
        <w:t xml:space="preserve"> Baquero</w:t>
      </w:r>
    </w:p>
    <w:p w:rsidR="00F27574" w:rsidRPr="006C01EF" w:rsidRDefault="00F27574" w:rsidP="00F27574">
      <w:r w:rsidRPr="006C01EF">
        <w:t>Edgar Emilio Salazar</w:t>
      </w:r>
      <w:r w:rsidR="004B0CF3">
        <w:t xml:space="preserve"> Baquero</w:t>
      </w:r>
    </w:p>
    <w:p w:rsidR="004B0CF3" w:rsidRDefault="004B0CF3" w:rsidP="00F27574">
      <w:r>
        <w:t>Fabiola Torres Agudelo</w:t>
      </w:r>
    </w:p>
    <w:p w:rsidR="00F27574" w:rsidRPr="006C01EF" w:rsidRDefault="00F27574" w:rsidP="00F27574">
      <w:r w:rsidRPr="006C01EF">
        <w:t xml:space="preserve">Germán </w:t>
      </w:r>
      <w:r w:rsidR="004B0CF3">
        <w:t xml:space="preserve">Eduardo </w:t>
      </w:r>
      <w:r w:rsidRPr="006C01EF">
        <w:t>Espinosa</w:t>
      </w:r>
      <w:r w:rsidR="004B0CF3">
        <w:t xml:space="preserve"> Florez</w:t>
      </w:r>
    </w:p>
    <w:p w:rsidR="00F27574" w:rsidRPr="006C01EF" w:rsidRDefault="00C27724" w:rsidP="00F27574">
      <w:r w:rsidRPr="006C01EF">
        <w:t>Héctor</w:t>
      </w:r>
      <w:r w:rsidR="00F27574" w:rsidRPr="006C01EF">
        <w:t xml:space="preserve"> A</w:t>
      </w:r>
      <w:r w:rsidR="004B0CF3">
        <w:t>lejandro</w:t>
      </w:r>
      <w:r w:rsidR="00F27574" w:rsidRPr="006C01EF">
        <w:t xml:space="preserve"> Garzón</w:t>
      </w:r>
      <w:r w:rsidR="004B0CF3">
        <w:t xml:space="preserve"> Acosta</w:t>
      </w:r>
    </w:p>
    <w:p w:rsidR="00F27574" w:rsidRPr="006C01EF" w:rsidRDefault="00C27724" w:rsidP="00F27574">
      <w:r w:rsidRPr="006C01EF">
        <w:t>Héctor</w:t>
      </w:r>
      <w:r w:rsidR="00F27574" w:rsidRPr="006C01EF">
        <w:t xml:space="preserve"> J. Villalobo</w:t>
      </w:r>
      <w:r>
        <w:t>s</w:t>
      </w:r>
      <w:r w:rsidR="004B0CF3">
        <w:t xml:space="preserve"> Leguizamón</w:t>
      </w:r>
    </w:p>
    <w:p w:rsidR="00F27574" w:rsidRPr="006C01EF" w:rsidRDefault="00F27574" w:rsidP="00F27574">
      <w:r w:rsidRPr="006C01EF">
        <w:t xml:space="preserve">Hernando Bermúdez </w:t>
      </w:r>
      <w:r w:rsidR="004B0CF3">
        <w:t xml:space="preserve"> Gómez</w:t>
      </w:r>
    </w:p>
    <w:p w:rsidR="00F27574" w:rsidRPr="006C01EF" w:rsidRDefault="00C27724" w:rsidP="00F27574">
      <w:r>
        <w:t>Jaime Arturo Marín</w:t>
      </w:r>
      <w:r w:rsidR="004B0CF3">
        <w:t xml:space="preserve"> Steevens</w:t>
      </w:r>
    </w:p>
    <w:p w:rsidR="00F27574" w:rsidRPr="006C01EF" w:rsidRDefault="00F27574" w:rsidP="00F27574">
      <w:r w:rsidRPr="006C01EF">
        <w:t>Jenny Marlene Sosa</w:t>
      </w:r>
      <w:r w:rsidR="004B0CF3">
        <w:t xml:space="preserve"> Cardozo</w:t>
      </w:r>
    </w:p>
    <w:p w:rsidR="00F27574" w:rsidRPr="006C01EF" w:rsidRDefault="00F27574" w:rsidP="00F27574">
      <w:r w:rsidRPr="006C01EF">
        <w:t xml:space="preserve">Jorge </w:t>
      </w:r>
      <w:r w:rsidR="004B0CF3">
        <w:t xml:space="preserve">Eliecer </w:t>
      </w:r>
      <w:r w:rsidRPr="006C01EF">
        <w:t>Lemus</w:t>
      </w:r>
      <w:r w:rsidR="004B0CF3">
        <w:t xml:space="preserve"> Cardozo</w:t>
      </w:r>
      <w:r w:rsidRPr="006C01EF">
        <w:t xml:space="preserve"> </w:t>
      </w:r>
    </w:p>
    <w:p w:rsidR="00F27574" w:rsidRDefault="00F27574" w:rsidP="00F27574">
      <w:r>
        <w:t>José Douglas Rayo</w:t>
      </w:r>
      <w:r w:rsidR="004B0CF3">
        <w:t xml:space="preserve"> Prada</w:t>
      </w:r>
    </w:p>
    <w:p w:rsidR="00F27574" w:rsidRPr="006C01EF" w:rsidRDefault="00F27574" w:rsidP="00F27574">
      <w:r w:rsidRPr="006C01EF">
        <w:t>Maria Victor</w:t>
      </w:r>
      <w:r w:rsidR="00C27724">
        <w:t>ia</w:t>
      </w:r>
      <w:r w:rsidRPr="006C01EF">
        <w:t xml:space="preserve"> Uribe</w:t>
      </w:r>
      <w:r w:rsidR="004B0CF3">
        <w:t xml:space="preserve"> Bohorquez</w:t>
      </w:r>
    </w:p>
    <w:p w:rsidR="00F27574" w:rsidRPr="005A1CDD" w:rsidRDefault="00F27574" w:rsidP="00F27574">
      <w:r>
        <w:t>Martha Liliana Arias</w:t>
      </w:r>
      <w:r w:rsidR="004B0CF3">
        <w:t xml:space="preserve"> Bello</w:t>
      </w:r>
    </w:p>
    <w:p w:rsidR="00F27574" w:rsidRPr="006C01EF" w:rsidRDefault="00F27574" w:rsidP="00F27574">
      <w:r w:rsidRPr="006C01EF">
        <w:t xml:space="preserve">Nohora </w:t>
      </w:r>
      <w:r w:rsidR="004B0CF3">
        <w:t xml:space="preserve">Claudia </w:t>
      </w:r>
      <w:r w:rsidRPr="006C01EF">
        <w:t>Rojas Penagos</w:t>
      </w:r>
    </w:p>
    <w:p w:rsidR="00F27574" w:rsidRPr="006C01EF" w:rsidRDefault="00C27724" w:rsidP="00F27574">
      <w:r>
        <w:t>Rubén Darío Bernal</w:t>
      </w:r>
      <w:r w:rsidR="004B0CF3">
        <w:t xml:space="preserve"> Calle</w:t>
      </w:r>
    </w:p>
    <w:p w:rsidR="00724BA7" w:rsidRDefault="00C27724">
      <w:r>
        <w:t>Víctor Manuel Villamizar</w:t>
      </w:r>
      <w:r w:rsidR="004B0CF3">
        <w:t xml:space="preserve"> Perilla</w:t>
      </w:r>
      <w:r w:rsidR="00724BA7">
        <w:br w:type="page"/>
      </w:r>
    </w:p>
    <w:p w:rsidR="00724BA7" w:rsidRDefault="00724BA7" w:rsidP="00724BA7">
      <w:pPr>
        <w:pStyle w:val="Ttulo1"/>
      </w:pPr>
      <w:bookmarkStart w:id="16" w:name="_Toc267647513"/>
      <w:r>
        <w:lastRenderedPageBreak/>
        <w:t>Anexo 2 – Lista de documentos de consulta sugerida</w:t>
      </w:r>
      <w:bookmarkEnd w:id="16"/>
    </w:p>
    <w:p w:rsidR="00724BA7" w:rsidRDefault="00724BA7" w:rsidP="00F27574"/>
    <w:p w:rsidR="00724BA7" w:rsidRPr="00055733" w:rsidRDefault="00F94635" w:rsidP="00055733">
      <w:pPr>
        <w:pStyle w:val="Prrafodelista"/>
        <w:numPr>
          <w:ilvl w:val="0"/>
          <w:numId w:val="28"/>
        </w:numPr>
        <w:rPr>
          <w:rFonts w:cstheme="minorHAnsi"/>
          <w:lang w:val="en-US"/>
        </w:rPr>
      </w:pPr>
      <w:hyperlink r:id="rId22" w:history="1">
        <w:r w:rsidR="00724BA7" w:rsidRPr="00055733">
          <w:rPr>
            <w:rStyle w:val="Hipervnculo"/>
            <w:rFonts w:cstheme="minorHAnsi"/>
            <w:lang w:val="en-US"/>
          </w:rPr>
          <w:t>Accounting for Growth in Latin America and the Caribbean Improving Corporate Financial Reporting to Support Regional Economic Development</w:t>
        </w:r>
      </w:hyperlink>
    </w:p>
    <w:p w:rsidR="00724BA7" w:rsidRPr="00055733" w:rsidRDefault="00F94635" w:rsidP="00055733">
      <w:pPr>
        <w:pStyle w:val="Prrafodelista"/>
        <w:numPr>
          <w:ilvl w:val="0"/>
          <w:numId w:val="28"/>
        </w:numPr>
        <w:rPr>
          <w:rFonts w:cstheme="minorHAnsi"/>
        </w:rPr>
      </w:pPr>
      <w:hyperlink r:id="rId23" w:history="1">
        <w:r w:rsidR="00724BA7" w:rsidRPr="00055733">
          <w:rPr>
            <w:rStyle w:val="Hipervnculo"/>
            <w:rFonts w:cstheme="minorHAnsi"/>
          </w:rPr>
          <w:t>Acuerdos de la Juntec para la implementación de NIIFs y NIAs</w:t>
        </w:r>
      </w:hyperlink>
    </w:p>
    <w:p w:rsidR="00724BA7" w:rsidRPr="00055733" w:rsidRDefault="00F94635" w:rsidP="00055733">
      <w:pPr>
        <w:pStyle w:val="Prrafodelista"/>
        <w:numPr>
          <w:ilvl w:val="0"/>
          <w:numId w:val="28"/>
        </w:numPr>
        <w:rPr>
          <w:rFonts w:cstheme="minorHAnsi"/>
          <w:lang w:val="en-US"/>
        </w:rPr>
      </w:pPr>
      <w:hyperlink r:id="rId24" w:history="1">
        <w:r w:rsidR="00724BA7" w:rsidRPr="00055733">
          <w:rPr>
            <w:rStyle w:val="Hipervnculo"/>
            <w:rFonts w:cstheme="minorHAnsi"/>
            <w:lang w:val="en-US"/>
          </w:rPr>
          <w:t>Assurance Implications of the Changeover to IFRSs (3rd edition)</w:t>
        </w:r>
      </w:hyperlink>
    </w:p>
    <w:p w:rsidR="00724BA7" w:rsidRPr="00055733" w:rsidRDefault="00F94635" w:rsidP="00055733">
      <w:pPr>
        <w:pStyle w:val="Prrafodelista"/>
        <w:numPr>
          <w:ilvl w:val="0"/>
          <w:numId w:val="28"/>
        </w:numPr>
        <w:rPr>
          <w:rFonts w:cstheme="minorHAnsi"/>
        </w:rPr>
      </w:pPr>
      <w:hyperlink r:id="rId25" w:history="1">
        <w:r w:rsidR="00724BA7" w:rsidRPr="00055733">
          <w:rPr>
            <w:rStyle w:val="Hipervnculo"/>
            <w:rFonts w:cstheme="minorHAnsi"/>
          </w:rPr>
          <w:t>Boletín técnico nº 79 Convergencia de los principios de contabilidad generalmente aceptados en chile a las norm</w:t>
        </w:r>
        <w:r w:rsidR="00762848">
          <w:rPr>
            <w:rStyle w:val="Hipervnculo"/>
            <w:rFonts w:cstheme="minorHAnsi"/>
          </w:rPr>
          <w:t>as internacionales de informació</w:t>
        </w:r>
        <w:r w:rsidR="00724BA7" w:rsidRPr="00055733">
          <w:rPr>
            <w:rStyle w:val="Hipervnculo"/>
            <w:rFonts w:cstheme="minorHAnsi"/>
          </w:rPr>
          <w:t>n financiera (niif o ifrs por su sigla en inglés)</w:t>
        </w:r>
      </w:hyperlink>
    </w:p>
    <w:p w:rsidR="00724BA7" w:rsidRPr="00055733" w:rsidRDefault="00F94635" w:rsidP="00055733">
      <w:pPr>
        <w:pStyle w:val="Prrafodelista"/>
        <w:numPr>
          <w:ilvl w:val="0"/>
          <w:numId w:val="28"/>
        </w:numPr>
        <w:rPr>
          <w:rFonts w:cstheme="minorHAnsi"/>
          <w:lang w:val="en-US"/>
        </w:rPr>
      </w:pPr>
      <w:hyperlink r:id="rId26" w:history="1">
        <w:r w:rsidR="00724BA7" w:rsidRPr="00055733">
          <w:rPr>
            <w:rStyle w:val="Hipervnculo"/>
            <w:rFonts w:cstheme="minorHAnsi"/>
            <w:lang w:val="en-US"/>
          </w:rPr>
          <w:t>Capital Markets in the Southern Cone of Latin America: Convergence to International Standards and Integration</w:t>
        </w:r>
      </w:hyperlink>
    </w:p>
    <w:p w:rsidR="00724BA7" w:rsidRPr="00055733" w:rsidRDefault="00F94635" w:rsidP="00055733">
      <w:pPr>
        <w:pStyle w:val="Prrafodelista"/>
        <w:numPr>
          <w:ilvl w:val="0"/>
          <w:numId w:val="28"/>
        </w:numPr>
        <w:rPr>
          <w:rFonts w:cstheme="minorHAnsi"/>
        </w:rPr>
      </w:pPr>
      <w:hyperlink r:id="rId27" w:history="1">
        <w:r w:rsidR="00724BA7" w:rsidRPr="00055733">
          <w:rPr>
            <w:rStyle w:val="Hipervnculo"/>
            <w:rFonts w:cstheme="minorHAnsi"/>
          </w:rPr>
          <w:t>Cronograma de implementación para la adopción de las niif/ifrs para la elaboración de los estados financieros.</w:t>
        </w:r>
      </w:hyperlink>
    </w:p>
    <w:p w:rsidR="00724BA7" w:rsidRPr="00055733" w:rsidRDefault="00F94635" w:rsidP="00055733">
      <w:pPr>
        <w:pStyle w:val="Prrafodelista"/>
        <w:numPr>
          <w:ilvl w:val="0"/>
          <w:numId w:val="28"/>
        </w:numPr>
        <w:rPr>
          <w:rFonts w:cstheme="minorHAnsi"/>
        </w:rPr>
      </w:pPr>
      <w:hyperlink r:id="rId28" w:history="1">
        <w:r w:rsidR="00724BA7" w:rsidRPr="00055733">
          <w:rPr>
            <w:rStyle w:val="Hipervnculo"/>
            <w:rFonts w:cstheme="minorHAnsi"/>
          </w:rPr>
          <w:t xml:space="preserve">Directrices para la contabilidad e información financiera de las pequeñas y medianas empresas (DCPYMES) Orientación para el nivel 3 </w:t>
        </w:r>
      </w:hyperlink>
    </w:p>
    <w:p w:rsidR="00724BA7" w:rsidRPr="00055733" w:rsidRDefault="00F94635" w:rsidP="00055733">
      <w:pPr>
        <w:pStyle w:val="Prrafodelista"/>
        <w:numPr>
          <w:ilvl w:val="0"/>
          <w:numId w:val="28"/>
        </w:numPr>
        <w:rPr>
          <w:rFonts w:cstheme="minorHAnsi"/>
        </w:rPr>
      </w:pPr>
      <w:hyperlink r:id="rId29" w:history="1">
        <w:r w:rsidR="00724BA7" w:rsidRPr="00055733">
          <w:rPr>
            <w:rStyle w:val="Hipervnculo"/>
            <w:rFonts w:cstheme="minorHAnsi"/>
          </w:rPr>
          <w:t xml:space="preserve">Documento Del Banco Interamericano De Desarrollo Fondo Multilateral De Inversiones Bolivia Convergencia A Normas Internacionales De Contabilidad Y Auditoría (Bo-M1005) Memorando De Donantes </w:t>
        </w:r>
      </w:hyperlink>
    </w:p>
    <w:p w:rsidR="00724BA7" w:rsidRPr="00055733" w:rsidRDefault="00F94635" w:rsidP="00055733">
      <w:pPr>
        <w:pStyle w:val="Prrafodelista"/>
        <w:numPr>
          <w:ilvl w:val="0"/>
          <w:numId w:val="28"/>
        </w:numPr>
        <w:rPr>
          <w:rFonts w:cstheme="minorHAnsi"/>
        </w:rPr>
      </w:pPr>
      <w:hyperlink r:id="rId30" w:history="1">
        <w:r w:rsidR="00724BA7" w:rsidRPr="00055733">
          <w:rPr>
            <w:rStyle w:val="Hipervnculo"/>
            <w:rFonts w:cstheme="minorHAnsi"/>
          </w:rPr>
          <w:t>Documento Del Banco Interamericano De Desarrollo Fondo Multilateral De Inversiones Chile Normas Internacionales De Información Financiera Y Normas Internacionales De Auditoria (Ch M1001) Memorando De Donantes</w:t>
        </w:r>
      </w:hyperlink>
    </w:p>
    <w:p w:rsidR="00724BA7" w:rsidRPr="00055733" w:rsidRDefault="00F94635" w:rsidP="00055733">
      <w:pPr>
        <w:pStyle w:val="Prrafodelista"/>
        <w:numPr>
          <w:ilvl w:val="0"/>
          <w:numId w:val="28"/>
        </w:numPr>
        <w:rPr>
          <w:rFonts w:cstheme="minorHAnsi"/>
        </w:rPr>
      </w:pPr>
      <w:hyperlink r:id="rId31" w:history="1">
        <w:r w:rsidR="00724BA7" w:rsidRPr="00055733">
          <w:rPr>
            <w:rStyle w:val="Hipervnculo"/>
            <w:rFonts w:cstheme="minorHAnsi"/>
          </w:rPr>
          <w:t xml:space="preserve">Documento Del Banco Interamericano De Desarrollo Fondo Multilateral De Inversiones No Autorizado Para Uso Publico Costa Rica Mejoramiento En La Calidad De La Información Financiera (Cr-M1001) Memorando De Donantes </w:t>
        </w:r>
      </w:hyperlink>
    </w:p>
    <w:p w:rsidR="00724BA7" w:rsidRPr="00055733" w:rsidRDefault="00F94635" w:rsidP="00055733">
      <w:pPr>
        <w:pStyle w:val="Prrafodelista"/>
        <w:numPr>
          <w:ilvl w:val="0"/>
          <w:numId w:val="28"/>
        </w:numPr>
        <w:rPr>
          <w:rFonts w:cstheme="minorHAnsi"/>
        </w:rPr>
      </w:pPr>
      <w:hyperlink r:id="rId32" w:history="1">
        <w:r w:rsidR="00724BA7" w:rsidRPr="00055733">
          <w:rPr>
            <w:rStyle w:val="Hipervnculo"/>
            <w:rFonts w:cstheme="minorHAnsi"/>
          </w:rPr>
          <w:t xml:space="preserve">Documento Del Banco Interamericano De Desarrollo Fondo Multilateral De Inversiones No Autorizado Para Uso Publico Honduras Adopción De Normas De Información Financiera Y De Auditoria (Tc-03-04-02-9) Memorando De Donantes </w:t>
        </w:r>
      </w:hyperlink>
    </w:p>
    <w:p w:rsidR="00724BA7" w:rsidRPr="00055733" w:rsidRDefault="00F94635" w:rsidP="00055733">
      <w:pPr>
        <w:pStyle w:val="Prrafodelista"/>
        <w:numPr>
          <w:ilvl w:val="0"/>
          <w:numId w:val="28"/>
        </w:numPr>
        <w:rPr>
          <w:rFonts w:cstheme="minorHAnsi"/>
        </w:rPr>
      </w:pPr>
      <w:hyperlink r:id="rId33" w:history="1">
        <w:r w:rsidR="00724BA7" w:rsidRPr="00055733">
          <w:rPr>
            <w:rStyle w:val="Hipervnculo"/>
            <w:rFonts w:cstheme="minorHAnsi"/>
          </w:rPr>
          <w:t xml:space="preserve">Documento Del Banco Interamericano De Desarrollo Fondo Multilateral De Inversiones No Autorizado Para Uso Público Jamaica Programa Para Mejorar La Aplicación Y El Cumplimiento De Las Normas Internacionales De Contabilidad Y De Auditoría (Tc-02-05-00-9-JA) Memorando A Los Donantes </w:t>
        </w:r>
      </w:hyperlink>
    </w:p>
    <w:p w:rsidR="00724BA7" w:rsidRPr="00055733" w:rsidRDefault="00F94635" w:rsidP="00055733">
      <w:pPr>
        <w:pStyle w:val="Prrafodelista"/>
        <w:numPr>
          <w:ilvl w:val="0"/>
          <w:numId w:val="28"/>
        </w:numPr>
        <w:rPr>
          <w:rFonts w:cstheme="minorHAnsi"/>
        </w:rPr>
      </w:pPr>
      <w:hyperlink r:id="rId34" w:history="1">
        <w:r w:rsidR="00724BA7" w:rsidRPr="00055733">
          <w:rPr>
            <w:rStyle w:val="Hipervnculo"/>
            <w:rFonts w:cstheme="minorHAnsi"/>
          </w:rPr>
          <w:t>Documento Del Banco Interamericano De Desarrollo Fond</w:t>
        </w:r>
        <w:r w:rsidR="00762848">
          <w:rPr>
            <w:rStyle w:val="Hipervnculo"/>
            <w:rFonts w:cstheme="minorHAnsi"/>
          </w:rPr>
          <w:t>o Multilateral De Inversiones Mé</w:t>
        </w:r>
        <w:r w:rsidR="00724BA7" w:rsidRPr="00055733">
          <w:rPr>
            <w:rStyle w:val="Hipervnculo"/>
            <w:rFonts w:cstheme="minorHAnsi"/>
          </w:rPr>
          <w:t>xico Convergencia Con Las Normas Contables Internacionales Par</w:t>
        </w:r>
        <w:r w:rsidR="00762848">
          <w:rPr>
            <w:rStyle w:val="Hipervnculo"/>
            <w:rFonts w:cstheme="minorHAnsi"/>
          </w:rPr>
          <w:t>a La Informació</w:t>
        </w:r>
        <w:r w:rsidR="00724BA7" w:rsidRPr="00055733">
          <w:rPr>
            <w:rStyle w:val="Hipervnculo"/>
            <w:rFonts w:cstheme="minorHAnsi"/>
          </w:rPr>
          <w:t xml:space="preserve">n Financiera (Tc-02-01-10-0) Memorando De Donantes </w:t>
        </w:r>
      </w:hyperlink>
    </w:p>
    <w:p w:rsidR="00724BA7" w:rsidRPr="00055733" w:rsidRDefault="00F94635" w:rsidP="00055733">
      <w:pPr>
        <w:pStyle w:val="Prrafodelista"/>
        <w:numPr>
          <w:ilvl w:val="0"/>
          <w:numId w:val="28"/>
        </w:numPr>
        <w:rPr>
          <w:rFonts w:cstheme="minorHAnsi"/>
        </w:rPr>
      </w:pPr>
      <w:hyperlink r:id="rId35" w:history="1">
        <w:r w:rsidR="00724BA7" w:rsidRPr="00055733">
          <w:rPr>
            <w:rStyle w:val="Hipervnculo"/>
            <w:rFonts w:cstheme="minorHAnsi"/>
          </w:rPr>
          <w:t xml:space="preserve">Documento Del Banco Interamericano De Desarrollo Fondo Multilateral De Inversiones No Autorizado Para Uso Publico Trinidad Y Tobago Programa Para Mejorar La Aplicación Y El </w:t>
        </w:r>
        <w:r w:rsidR="00724BA7" w:rsidRPr="00055733">
          <w:rPr>
            <w:rStyle w:val="Hipervnculo"/>
            <w:rFonts w:cstheme="minorHAnsi"/>
          </w:rPr>
          <w:lastRenderedPageBreak/>
          <w:t xml:space="preserve">Cumplimiento De Normas Internacionales De Contabilidad Y Auditoria (Tc-02-06-01-4) Memorando A Los Donantes </w:t>
        </w:r>
      </w:hyperlink>
    </w:p>
    <w:p w:rsidR="00724BA7" w:rsidRPr="00055733" w:rsidRDefault="00F94635" w:rsidP="00055733">
      <w:pPr>
        <w:pStyle w:val="Prrafodelista"/>
        <w:numPr>
          <w:ilvl w:val="0"/>
          <w:numId w:val="28"/>
        </w:numPr>
        <w:rPr>
          <w:rFonts w:cstheme="minorHAnsi"/>
        </w:rPr>
      </w:pPr>
      <w:hyperlink r:id="rId36" w:history="1">
        <w:r w:rsidR="00724BA7" w:rsidRPr="00055733">
          <w:rPr>
            <w:rStyle w:val="Hipervnculo"/>
            <w:rFonts w:cstheme="minorHAnsi"/>
          </w:rPr>
          <w:t xml:space="preserve">Documento Del Banco Interamericano De Desarrollo Fondo Multilateral De Inversiones Uruguay Normas Internacionales De Información Financiera Y Normas Internacionales De Auditoria (Tc-03-04-01-3) Memorando De Donantes </w:t>
        </w:r>
      </w:hyperlink>
    </w:p>
    <w:p w:rsidR="00724BA7" w:rsidRPr="00055733" w:rsidRDefault="00F94635" w:rsidP="00055733">
      <w:pPr>
        <w:pStyle w:val="Prrafodelista"/>
        <w:numPr>
          <w:ilvl w:val="0"/>
          <w:numId w:val="28"/>
        </w:numPr>
        <w:rPr>
          <w:rFonts w:cstheme="minorHAnsi"/>
        </w:rPr>
      </w:pPr>
      <w:hyperlink r:id="rId37" w:history="1">
        <w:r w:rsidR="00724BA7" w:rsidRPr="00055733">
          <w:rPr>
            <w:rStyle w:val="Hipervnculo"/>
            <w:rFonts w:cstheme="minorHAnsi"/>
          </w:rPr>
          <w:t xml:space="preserve">Examen de los problemas de aplicación práctica de las normas internacionales de información financiera: los efectos de la crisis financiera </w:t>
        </w:r>
      </w:hyperlink>
    </w:p>
    <w:p w:rsidR="00724BA7" w:rsidRPr="00055733" w:rsidRDefault="00F94635" w:rsidP="00055733">
      <w:pPr>
        <w:pStyle w:val="Prrafodelista"/>
        <w:numPr>
          <w:ilvl w:val="0"/>
          <w:numId w:val="28"/>
        </w:numPr>
        <w:rPr>
          <w:rFonts w:cstheme="minorHAnsi"/>
        </w:rPr>
      </w:pPr>
      <w:hyperlink r:id="rId38" w:history="1">
        <w:r w:rsidR="00724BA7" w:rsidRPr="00055733">
          <w:rPr>
            <w:rStyle w:val="Hipervnculo"/>
            <w:rFonts w:cstheme="minorHAnsi"/>
          </w:rPr>
          <w:t>Federación de Colegios de Contadores Públicos de Venezuela Plan de Adopción de las Normas Internacionales Junio de 2004 Borrador</w:t>
        </w:r>
      </w:hyperlink>
    </w:p>
    <w:p w:rsidR="00724BA7" w:rsidRPr="00055733" w:rsidRDefault="00F94635" w:rsidP="00055733">
      <w:pPr>
        <w:pStyle w:val="Prrafodelista"/>
        <w:numPr>
          <w:ilvl w:val="0"/>
          <w:numId w:val="28"/>
        </w:numPr>
        <w:rPr>
          <w:rFonts w:cstheme="minorHAnsi"/>
        </w:rPr>
      </w:pPr>
      <w:hyperlink r:id="rId39" w:history="1">
        <w:r w:rsidR="00724BA7" w:rsidRPr="00055733">
          <w:rPr>
            <w:rStyle w:val="Hipervnculo"/>
            <w:rFonts w:cstheme="minorHAnsi"/>
          </w:rPr>
          <w:t>IFRS adoption</w:t>
        </w:r>
        <w:r w:rsidR="00762848">
          <w:rPr>
            <w:rStyle w:val="Hipervnculo"/>
            <w:rFonts w:cstheme="minorHAnsi"/>
          </w:rPr>
          <w:t xml:space="preserve"> </w:t>
        </w:r>
        <w:r w:rsidR="00724BA7" w:rsidRPr="00055733">
          <w:rPr>
            <w:rStyle w:val="Hipervnculo"/>
            <w:rFonts w:cstheme="minorHAnsi"/>
          </w:rPr>
          <w:t>by country</w:t>
        </w:r>
      </w:hyperlink>
    </w:p>
    <w:p w:rsidR="00724BA7" w:rsidRPr="00055733" w:rsidRDefault="00F94635" w:rsidP="00055733">
      <w:pPr>
        <w:pStyle w:val="Prrafodelista"/>
        <w:numPr>
          <w:ilvl w:val="0"/>
          <w:numId w:val="28"/>
        </w:numPr>
        <w:rPr>
          <w:rFonts w:cstheme="minorHAnsi"/>
          <w:lang w:val="en-US"/>
        </w:rPr>
      </w:pPr>
      <w:hyperlink r:id="rId40" w:history="1">
        <w:r w:rsidR="00724BA7" w:rsidRPr="00055733">
          <w:rPr>
            <w:rStyle w:val="Hipervnculo"/>
            <w:rFonts w:cstheme="minorHAnsi"/>
            <w:lang w:val="en-US"/>
          </w:rPr>
          <w:t>Implementation of international accounting and auditing standards Lessons learned from the World Bank’s accounting and auditing rosc program</w:t>
        </w:r>
      </w:hyperlink>
    </w:p>
    <w:p w:rsidR="00724BA7" w:rsidRPr="00055733" w:rsidRDefault="00F94635" w:rsidP="00055733">
      <w:pPr>
        <w:pStyle w:val="Prrafodelista"/>
        <w:numPr>
          <w:ilvl w:val="0"/>
          <w:numId w:val="28"/>
        </w:numPr>
        <w:rPr>
          <w:rFonts w:cstheme="minorHAnsi"/>
          <w:lang w:val="en-US"/>
        </w:rPr>
      </w:pPr>
      <w:hyperlink r:id="rId41" w:history="1">
        <w:r w:rsidR="00724BA7" w:rsidRPr="00055733">
          <w:rPr>
            <w:rStyle w:val="Hipervnculo"/>
            <w:rFonts w:cstheme="minorHAnsi"/>
            <w:lang w:val="en-US"/>
          </w:rPr>
          <w:t>Implementation Plan for Incorporating International Financial Reporting Standards into Canadian GAAP</w:t>
        </w:r>
      </w:hyperlink>
    </w:p>
    <w:p w:rsidR="00724BA7" w:rsidRPr="00055733" w:rsidRDefault="00F94635" w:rsidP="00055733">
      <w:pPr>
        <w:pStyle w:val="Prrafodelista"/>
        <w:numPr>
          <w:ilvl w:val="0"/>
          <w:numId w:val="28"/>
        </w:numPr>
        <w:rPr>
          <w:rFonts w:cstheme="minorHAnsi"/>
          <w:lang w:val="en-US"/>
        </w:rPr>
      </w:pPr>
      <w:hyperlink r:id="rId42" w:history="1">
        <w:r w:rsidR="00724BA7" w:rsidRPr="00055733">
          <w:rPr>
            <w:rStyle w:val="Hipervnculo"/>
            <w:rFonts w:cstheme="minorHAnsi"/>
            <w:lang w:val="en-US"/>
          </w:rPr>
          <w:t xml:space="preserve">International Accounting Standards and Accounting Quality </w:t>
        </w:r>
      </w:hyperlink>
    </w:p>
    <w:p w:rsidR="00724BA7" w:rsidRPr="00055733" w:rsidRDefault="00F94635" w:rsidP="00055733">
      <w:pPr>
        <w:pStyle w:val="Prrafodelista"/>
        <w:numPr>
          <w:ilvl w:val="0"/>
          <w:numId w:val="28"/>
        </w:numPr>
        <w:rPr>
          <w:rFonts w:cstheme="minorHAnsi"/>
          <w:lang w:val="en-US"/>
        </w:rPr>
      </w:pPr>
      <w:hyperlink r:id="rId43" w:history="1">
        <w:r w:rsidR="00724BA7" w:rsidRPr="00055733">
          <w:rPr>
            <w:rStyle w:val="Hipervnculo"/>
            <w:rFonts w:cstheme="minorHAnsi"/>
            <w:lang w:val="en-US"/>
          </w:rPr>
          <w:t xml:space="preserve">International Accounting Standards Latin America transparency, disclosure and valuation for Latin America and the Caribbean. </w:t>
        </w:r>
      </w:hyperlink>
    </w:p>
    <w:p w:rsidR="00724BA7" w:rsidRPr="00055733" w:rsidRDefault="00F94635" w:rsidP="00055733">
      <w:pPr>
        <w:pStyle w:val="Prrafodelista"/>
        <w:numPr>
          <w:ilvl w:val="0"/>
          <w:numId w:val="28"/>
        </w:numPr>
        <w:rPr>
          <w:rFonts w:cstheme="minorHAnsi"/>
        </w:rPr>
      </w:pPr>
      <w:hyperlink r:id="rId44" w:history="1">
        <w:r w:rsidR="00724BA7" w:rsidRPr="00055733">
          <w:rPr>
            <w:rStyle w:val="Hipervnculo"/>
            <w:rFonts w:cstheme="minorHAnsi"/>
          </w:rPr>
          <w:t>La adaptación del ordenamiento contable español a las normas internacionales. Conclusiones del "Informe sobre la situación actual de la contabilidad en España y líneas básicas para abordar su reforma" (Libro Blanco)</w:t>
        </w:r>
      </w:hyperlink>
    </w:p>
    <w:p w:rsidR="00724BA7" w:rsidRPr="00055733" w:rsidRDefault="00F94635" w:rsidP="00055733">
      <w:pPr>
        <w:pStyle w:val="Prrafodelista"/>
        <w:numPr>
          <w:ilvl w:val="0"/>
          <w:numId w:val="28"/>
        </w:numPr>
        <w:rPr>
          <w:rFonts w:cstheme="minorHAnsi"/>
          <w:lang w:val="en-US"/>
        </w:rPr>
      </w:pPr>
      <w:hyperlink r:id="rId45" w:history="1">
        <w:r w:rsidR="00724BA7" w:rsidRPr="00055733">
          <w:rPr>
            <w:rStyle w:val="Hipervnculo"/>
            <w:rFonts w:cstheme="minorHAnsi"/>
            <w:lang w:val="en-US"/>
          </w:rPr>
          <w:t xml:space="preserve">Mandatory IFRS Reporting Around the World: Early Evidence on the Economic Consequences </w:t>
        </w:r>
      </w:hyperlink>
    </w:p>
    <w:p w:rsidR="00724BA7" w:rsidRPr="00055733" w:rsidRDefault="00F94635" w:rsidP="00055733">
      <w:pPr>
        <w:pStyle w:val="Prrafodelista"/>
        <w:numPr>
          <w:ilvl w:val="0"/>
          <w:numId w:val="28"/>
        </w:numPr>
        <w:rPr>
          <w:rFonts w:cstheme="minorHAnsi"/>
        </w:rPr>
      </w:pPr>
      <w:hyperlink r:id="rId46" w:history="1">
        <w:r w:rsidR="00724BA7" w:rsidRPr="00055733">
          <w:rPr>
            <w:rStyle w:val="Hipervnculo"/>
            <w:rFonts w:cstheme="minorHAnsi"/>
          </w:rPr>
          <w:t>Norma Internacional de Información Financiera para Pequeñas y Medianas Entidades (NIIF para PYMES)</w:t>
        </w:r>
      </w:hyperlink>
    </w:p>
    <w:p w:rsidR="00724BA7" w:rsidRPr="00055733" w:rsidRDefault="00F94635" w:rsidP="00055733">
      <w:pPr>
        <w:pStyle w:val="Prrafodelista"/>
        <w:numPr>
          <w:ilvl w:val="0"/>
          <w:numId w:val="28"/>
        </w:numPr>
        <w:rPr>
          <w:rFonts w:cstheme="minorHAnsi"/>
          <w:lang w:val="en-US"/>
        </w:rPr>
      </w:pPr>
      <w:hyperlink r:id="rId47" w:history="1">
        <w:r w:rsidR="00724BA7" w:rsidRPr="00055733">
          <w:rPr>
            <w:rStyle w:val="Hipervnculo"/>
            <w:rFonts w:cstheme="minorHAnsi"/>
            <w:lang w:val="en-US"/>
          </w:rPr>
          <w:t>Practical implementation of IFRS: lessons learned</w:t>
        </w:r>
      </w:hyperlink>
    </w:p>
    <w:p w:rsidR="00724BA7" w:rsidRPr="00055733" w:rsidRDefault="00F94635" w:rsidP="00055733">
      <w:pPr>
        <w:pStyle w:val="Prrafodelista"/>
        <w:numPr>
          <w:ilvl w:val="0"/>
          <w:numId w:val="28"/>
        </w:numPr>
        <w:rPr>
          <w:rFonts w:cstheme="minorHAnsi"/>
          <w:lang w:val="en-US"/>
        </w:rPr>
      </w:pPr>
      <w:hyperlink r:id="rId48" w:history="1">
        <w:r w:rsidR="00724BA7" w:rsidRPr="00055733">
          <w:rPr>
            <w:rStyle w:val="Hipervnculo"/>
            <w:rFonts w:cstheme="minorHAnsi"/>
            <w:lang w:val="en-US"/>
          </w:rPr>
          <w:t>Program For Strengthening Private-Sector External Auditing (Tc-99-01-02-5) Executive Summary Executing Agency: The Society Of Public Accountants Of Nicaragua (Ccpn).</w:t>
        </w:r>
      </w:hyperlink>
    </w:p>
    <w:p w:rsidR="00724BA7" w:rsidRPr="00055733" w:rsidRDefault="00F94635" w:rsidP="00055733">
      <w:pPr>
        <w:pStyle w:val="Prrafodelista"/>
        <w:numPr>
          <w:ilvl w:val="0"/>
          <w:numId w:val="28"/>
        </w:numPr>
        <w:rPr>
          <w:rFonts w:cstheme="minorHAnsi"/>
        </w:rPr>
      </w:pPr>
      <w:hyperlink r:id="rId49" w:history="1">
        <w:r w:rsidR="00724BA7" w:rsidRPr="00055733">
          <w:rPr>
            <w:rStyle w:val="Hipervnculo"/>
            <w:rFonts w:cstheme="minorHAnsi"/>
          </w:rPr>
          <w:t>Proyecto de Plan de implementación de la adopción de las NIIF/IFRS completas como única forma de elaboración de los EC de los entes que hacen oferta pública de sus valores negociables</w:t>
        </w:r>
      </w:hyperlink>
    </w:p>
    <w:p w:rsidR="00724BA7" w:rsidRPr="00055733" w:rsidRDefault="00F94635" w:rsidP="00055733">
      <w:pPr>
        <w:pStyle w:val="Prrafodelista"/>
        <w:numPr>
          <w:ilvl w:val="0"/>
          <w:numId w:val="28"/>
        </w:numPr>
        <w:rPr>
          <w:rFonts w:cstheme="minorHAnsi"/>
        </w:rPr>
      </w:pPr>
      <w:hyperlink r:id="rId50" w:history="1">
        <w:r w:rsidR="00724BA7" w:rsidRPr="00055733">
          <w:rPr>
            <w:rStyle w:val="Hipervnculo"/>
            <w:rFonts w:cstheme="minorHAnsi"/>
          </w:rPr>
          <w:t>Resultados y Lecciones Aprendidas</w:t>
        </w:r>
      </w:hyperlink>
    </w:p>
    <w:p w:rsidR="00724BA7" w:rsidRPr="00055733" w:rsidRDefault="00F94635" w:rsidP="00055733">
      <w:pPr>
        <w:pStyle w:val="Prrafodelista"/>
        <w:numPr>
          <w:ilvl w:val="0"/>
          <w:numId w:val="28"/>
        </w:numPr>
        <w:rPr>
          <w:rFonts w:cstheme="minorHAnsi"/>
        </w:rPr>
      </w:pPr>
      <w:hyperlink r:id="rId51" w:history="1">
        <w:r w:rsidR="00724BA7" w:rsidRPr="00055733">
          <w:rPr>
            <w:rStyle w:val="Hipervnculo"/>
            <w:rFonts w:cstheme="minorHAnsi"/>
          </w:rPr>
          <w:t>Resolución general nº adopción de normas internacionales de información financiera</w:t>
        </w:r>
      </w:hyperlink>
    </w:p>
    <w:p w:rsidR="00724BA7" w:rsidRPr="00055733" w:rsidRDefault="00F94635" w:rsidP="00055733">
      <w:pPr>
        <w:pStyle w:val="Prrafodelista"/>
        <w:numPr>
          <w:ilvl w:val="0"/>
          <w:numId w:val="28"/>
        </w:numPr>
        <w:rPr>
          <w:rFonts w:cstheme="minorHAnsi"/>
        </w:rPr>
      </w:pPr>
      <w:hyperlink r:id="rId52" w:history="1">
        <w:r w:rsidR="00724BA7" w:rsidRPr="00055733">
          <w:rPr>
            <w:rStyle w:val="Hipervnculo"/>
            <w:rFonts w:cstheme="minorHAnsi"/>
          </w:rPr>
          <w:t xml:space="preserve">Resolución Técnica número 26 Adopción de los Estándares Internacionales de Información Financiera del Consejo de Estándares Internacionales de Contabilidad (IASB) </w:t>
        </w:r>
      </w:hyperlink>
    </w:p>
    <w:p w:rsidR="00724BA7" w:rsidRPr="00055733" w:rsidRDefault="00F94635" w:rsidP="00055733">
      <w:pPr>
        <w:pStyle w:val="Prrafodelista"/>
        <w:numPr>
          <w:ilvl w:val="0"/>
          <w:numId w:val="28"/>
        </w:numPr>
        <w:rPr>
          <w:rFonts w:cstheme="minorHAnsi"/>
          <w:lang w:val="en-US"/>
        </w:rPr>
      </w:pPr>
      <w:hyperlink r:id="rId53" w:history="1">
        <w:r w:rsidR="00724BA7" w:rsidRPr="00055733">
          <w:rPr>
            <w:rStyle w:val="Hipervnculo"/>
            <w:rFonts w:cstheme="minorHAnsi"/>
            <w:lang w:val="en-US"/>
          </w:rPr>
          <w:t>Roadmap for the potential use of financial statements prepared in accordance with international financial reporting standards by u.s. Issuers</w:t>
        </w:r>
      </w:hyperlink>
    </w:p>
    <w:p w:rsidR="00724BA7" w:rsidRPr="00055733" w:rsidRDefault="00F94635" w:rsidP="00055733">
      <w:pPr>
        <w:pStyle w:val="Prrafodelista"/>
        <w:numPr>
          <w:ilvl w:val="0"/>
          <w:numId w:val="28"/>
        </w:numPr>
        <w:rPr>
          <w:rFonts w:cstheme="minorHAnsi"/>
          <w:lang w:val="en-US"/>
        </w:rPr>
      </w:pPr>
      <w:hyperlink r:id="rId54" w:history="1">
        <w:r w:rsidR="00724BA7" w:rsidRPr="00055733">
          <w:rPr>
            <w:rStyle w:val="Hipervnculo"/>
            <w:rFonts w:cstheme="minorHAnsi"/>
            <w:lang w:val="en-US"/>
          </w:rPr>
          <w:t>The CICA’s Guide to Transition to International Standards IFRS ISA IFRS in Canada</w:t>
        </w:r>
      </w:hyperlink>
    </w:p>
    <w:p w:rsidR="00724BA7" w:rsidRPr="00055733" w:rsidRDefault="00F94635" w:rsidP="00055733">
      <w:pPr>
        <w:pStyle w:val="Prrafodelista"/>
        <w:numPr>
          <w:ilvl w:val="0"/>
          <w:numId w:val="28"/>
        </w:numPr>
        <w:rPr>
          <w:rFonts w:cstheme="minorHAnsi"/>
        </w:rPr>
      </w:pPr>
      <w:hyperlink r:id="rId55" w:history="1">
        <w:r w:rsidR="00724BA7" w:rsidRPr="00055733">
          <w:rPr>
            <w:rStyle w:val="Hipervnculo"/>
            <w:rFonts w:cstheme="minorHAnsi"/>
          </w:rPr>
          <w:t>What</w:t>
        </w:r>
        <w:r w:rsidR="00762848">
          <w:rPr>
            <w:rStyle w:val="Hipervnculo"/>
            <w:rFonts w:cstheme="minorHAnsi"/>
          </w:rPr>
          <w:t xml:space="preserve"> </w:t>
        </w:r>
        <w:r w:rsidR="00724BA7" w:rsidRPr="00055733">
          <w:rPr>
            <w:rStyle w:val="Hipervnculo"/>
            <w:rFonts w:cstheme="minorHAnsi"/>
          </w:rPr>
          <w:t>exactly</w:t>
        </w:r>
        <w:r w:rsidR="00762848">
          <w:rPr>
            <w:rStyle w:val="Hipervnculo"/>
            <w:rFonts w:cstheme="minorHAnsi"/>
          </w:rPr>
          <w:t xml:space="preserve"> </w:t>
        </w:r>
        <w:r w:rsidR="00724BA7" w:rsidRPr="00055733">
          <w:rPr>
            <w:rStyle w:val="Hipervnculo"/>
            <w:rFonts w:cstheme="minorHAnsi"/>
          </w:rPr>
          <w:t>is</w:t>
        </w:r>
        <w:r w:rsidR="00762848">
          <w:rPr>
            <w:rStyle w:val="Hipervnculo"/>
            <w:rFonts w:cstheme="minorHAnsi"/>
          </w:rPr>
          <w:t xml:space="preserve"> </w:t>
        </w:r>
        <w:r w:rsidR="00724BA7" w:rsidRPr="00055733">
          <w:rPr>
            <w:rStyle w:val="Hipervnculo"/>
            <w:rFonts w:cstheme="minorHAnsi"/>
          </w:rPr>
          <w:t>convergence?</w:t>
        </w:r>
      </w:hyperlink>
    </w:p>
    <w:p w:rsidR="00724BA7" w:rsidRPr="00055733" w:rsidRDefault="00F94635" w:rsidP="00055733">
      <w:pPr>
        <w:pStyle w:val="Prrafodelista"/>
        <w:numPr>
          <w:ilvl w:val="0"/>
          <w:numId w:val="28"/>
        </w:numPr>
        <w:rPr>
          <w:rFonts w:cstheme="minorHAnsi"/>
          <w:lang w:val="en-US"/>
        </w:rPr>
      </w:pPr>
      <w:hyperlink r:id="rId56" w:history="1">
        <w:r w:rsidR="00724BA7" w:rsidRPr="00055733">
          <w:rPr>
            <w:rStyle w:val="Hipervnculo"/>
            <w:rFonts w:cstheme="minorHAnsi"/>
            <w:lang w:val="en-US"/>
          </w:rPr>
          <w:t>Work Plan for the Consideration of Incorporating International Financial Reporting Standards into the Financial Reporting System for U.S. Issuers</w:t>
        </w:r>
      </w:hyperlink>
    </w:p>
    <w:p w:rsidR="00724BA7" w:rsidRPr="00724BA7" w:rsidRDefault="00724BA7" w:rsidP="00F27574">
      <w:pPr>
        <w:rPr>
          <w:lang w:val="en-US"/>
        </w:rPr>
      </w:pPr>
    </w:p>
    <w:sectPr w:rsidR="00724BA7" w:rsidRPr="00724BA7" w:rsidSect="00096A02">
      <w:headerReference w:type="default" r:id="rId57"/>
      <w:footerReference w:type="default" r:id="rId5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D42" w:rsidRDefault="00774D42" w:rsidP="004F7EF7">
      <w:pPr>
        <w:spacing w:after="0" w:line="240" w:lineRule="auto"/>
      </w:pPr>
      <w:r>
        <w:separator/>
      </w:r>
    </w:p>
  </w:endnote>
  <w:endnote w:type="continuationSeparator" w:id="1">
    <w:p w:rsidR="00774D42" w:rsidRDefault="00774D42" w:rsidP="004F7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yriadPro-It">
    <w:panose1 w:val="00000000000000000000"/>
    <w:charset w:val="00"/>
    <w:family w:val="auto"/>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0462"/>
      <w:docPartObj>
        <w:docPartGallery w:val="Page Numbers (Bottom of Page)"/>
        <w:docPartUnique/>
      </w:docPartObj>
    </w:sdtPr>
    <w:sdtEndPr>
      <w:rPr>
        <w:noProof/>
      </w:rPr>
    </w:sdtEndPr>
    <w:sdtContent>
      <w:p w:rsidR="00704C1D" w:rsidRDefault="00F94635">
        <w:pPr>
          <w:pStyle w:val="Piedepgina"/>
          <w:jc w:val="right"/>
        </w:pPr>
        <w:fldSimple w:instr=" PAGE   \* MERGEFORMAT ">
          <w:r w:rsidR="00CC0364">
            <w:rPr>
              <w:noProof/>
            </w:rPr>
            <w:t>1</w:t>
          </w:r>
        </w:fldSimple>
      </w:p>
    </w:sdtContent>
  </w:sdt>
  <w:p w:rsidR="00704C1D" w:rsidRDefault="00704C1D">
    <w:pPr>
      <w:pStyle w:val="Piedepgina"/>
    </w:pPr>
  </w:p>
  <w:p w:rsidR="00704C1D" w:rsidRDefault="00704C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D42" w:rsidRDefault="00774D42" w:rsidP="004F7EF7">
      <w:pPr>
        <w:spacing w:after="0" w:line="240" w:lineRule="auto"/>
      </w:pPr>
      <w:r>
        <w:separator/>
      </w:r>
    </w:p>
  </w:footnote>
  <w:footnote w:type="continuationSeparator" w:id="1">
    <w:p w:rsidR="00774D42" w:rsidRDefault="00774D42" w:rsidP="004F7EF7">
      <w:pPr>
        <w:spacing w:after="0" w:line="240" w:lineRule="auto"/>
      </w:pPr>
      <w:r>
        <w:continuationSeparator/>
      </w:r>
    </w:p>
  </w:footnote>
  <w:footnote w:id="2">
    <w:p w:rsidR="00704C1D" w:rsidRPr="006B1A15" w:rsidRDefault="00704C1D" w:rsidP="00E2676E">
      <w:pPr>
        <w:pStyle w:val="Textonotapie"/>
        <w:jc w:val="both"/>
      </w:pPr>
      <w:r>
        <w:rPr>
          <w:rStyle w:val="Refdenotaalpie"/>
        </w:rPr>
        <w:footnoteRef/>
      </w:r>
      <w:hyperlink r:id="rId1" w:history="1">
        <w:r w:rsidRPr="00225A0A">
          <w:rPr>
            <w:rStyle w:val="Hipervnculo"/>
          </w:rPr>
          <w:t>http://www.mincomercio.gov.co/eContent/newsdetail.asp?id=8229&amp;IdCompany=1</w:t>
        </w:r>
      </w:hyperlink>
    </w:p>
  </w:footnote>
  <w:footnote w:id="3">
    <w:p w:rsidR="00704C1D" w:rsidRPr="00AA0652" w:rsidRDefault="00704C1D" w:rsidP="00E2676E">
      <w:pPr>
        <w:pStyle w:val="Textonotapie"/>
        <w:jc w:val="both"/>
      </w:pPr>
      <w:r>
        <w:rPr>
          <w:rStyle w:val="Refdenotaalpie"/>
        </w:rPr>
        <w:footnoteRef/>
      </w:r>
      <w:hyperlink r:id="rId2" w:history="1">
        <w:r w:rsidRPr="00225A0A">
          <w:rPr>
            <w:rStyle w:val="Hipervnculo"/>
          </w:rPr>
          <w:t>http://www.mincomercio.gov.co/eContent/documentos/Regulacion/2010/PlanTrabajoCTCP.pdf</w:t>
        </w:r>
      </w:hyperlink>
    </w:p>
  </w:footnote>
  <w:footnote w:id="4">
    <w:p w:rsidR="00704C1D" w:rsidRPr="00F44B5C" w:rsidRDefault="00704C1D" w:rsidP="00E2676E">
      <w:pPr>
        <w:pStyle w:val="Textonotapie"/>
        <w:jc w:val="both"/>
      </w:pPr>
      <w:r>
        <w:rPr>
          <w:rStyle w:val="Refdenotaalpie"/>
        </w:rPr>
        <w:footnoteRef/>
      </w:r>
      <w:hyperlink r:id="rId3" w:history="1">
        <w:r w:rsidRPr="00225A0A">
          <w:rPr>
            <w:rStyle w:val="Hipervnculo"/>
          </w:rPr>
          <w:t>http://www.javeriana.edu.co/personales/hbermude/leycontable/contadores/2009-ley-1314.pdf</w:t>
        </w:r>
      </w:hyperlink>
    </w:p>
  </w:footnote>
  <w:footnote w:id="5">
    <w:p w:rsidR="00704C1D" w:rsidRPr="00345729" w:rsidRDefault="00704C1D" w:rsidP="00E2676E">
      <w:pPr>
        <w:pStyle w:val="Textonotapie"/>
        <w:jc w:val="both"/>
      </w:pPr>
      <w:r>
        <w:rPr>
          <w:rStyle w:val="Refdenotaalpie"/>
        </w:rPr>
        <w:footnoteRef/>
      </w:r>
      <w:hyperlink r:id="rId4" w:history="1">
        <w:r w:rsidRPr="00225A0A">
          <w:rPr>
            <w:rStyle w:val="Hipervnculo"/>
          </w:rPr>
          <w:t>http://www.javeriana.edu.co/personales/hbermude/contrapartida/contrapartida187.doc</w:t>
        </w:r>
      </w:hyperlink>
    </w:p>
  </w:footnote>
  <w:footnote w:id="6">
    <w:p w:rsidR="00704C1D" w:rsidRPr="00657349" w:rsidRDefault="00704C1D" w:rsidP="00E2676E">
      <w:pPr>
        <w:pStyle w:val="Textonotapie"/>
        <w:jc w:val="both"/>
      </w:pPr>
      <w:r>
        <w:rPr>
          <w:rStyle w:val="Refdenotaalpie"/>
        </w:rPr>
        <w:footnoteRef/>
      </w:r>
      <w:hyperlink r:id="rId5" w:history="1">
        <w:r w:rsidRPr="00225A0A">
          <w:rPr>
            <w:rStyle w:val="Hipervnculo"/>
          </w:rPr>
          <w:t>https://www.javeriana.edu.co/personales/hbermude/documentosmodernizacion/documentos.htm</w:t>
        </w:r>
      </w:hyperlink>
    </w:p>
  </w:footnote>
  <w:footnote w:id="7">
    <w:p w:rsidR="00704C1D" w:rsidRPr="008D47CE" w:rsidRDefault="00704C1D" w:rsidP="00E2676E">
      <w:pPr>
        <w:pStyle w:val="Textonotapie"/>
        <w:jc w:val="both"/>
      </w:pPr>
      <w:r>
        <w:rPr>
          <w:rStyle w:val="Refdenotaalpie"/>
        </w:rPr>
        <w:footnoteRef/>
      </w:r>
      <w:r>
        <w:t xml:space="preserve"> h</w:t>
      </w:r>
      <w:r w:rsidRPr="005263FA">
        <w:t>ttp://www.mincomercio.gov.co/eContent/documentos/Regulacion/2010/FormularioConvocatoriaCTC.doc</w:t>
      </w:r>
    </w:p>
  </w:footnote>
  <w:footnote w:id="8">
    <w:p w:rsidR="00704C1D" w:rsidRPr="00C53581" w:rsidRDefault="00704C1D" w:rsidP="00E2676E">
      <w:pPr>
        <w:pStyle w:val="Textonotapie"/>
        <w:jc w:val="both"/>
        <w:rPr>
          <w:lang w:val="es-CO"/>
        </w:rPr>
      </w:pPr>
      <w:r>
        <w:rPr>
          <w:rStyle w:val="Refdenotaalpie"/>
        </w:rPr>
        <w:footnoteRef/>
      </w:r>
      <w:r w:rsidRPr="00C53581">
        <w:rPr>
          <w:lang w:val="en-US"/>
        </w:rPr>
        <w:t xml:space="preserve"> Accounting for growth in Latin America and the Caribbean: improving corporate</w:t>
      </w:r>
      <w:r w:rsidR="00E01200">
        <w:rPr>
          <w:lang w:val="en-US"/>
        </w:rPr>
        <w:t xml:space="preserve"> </w:t>
      </w:r>
      <w:r w:rsidRPr="00C53581">
        <w:rPr>
          <w:lang w:val="en-US"/>
        </w:rPr>
        <w:t>financial reporting to support regional economic development / Henri Fortin, Ana</w:t>
      </w:r>
      <w:r w:rsidR="00E01200">
        <w:rPr>
          <w:lang w:val="en-US"/>
        </w:rPr>
        <w:t xml:space="preserve"> </w:t>
      </w:r>
      <w:r w:rsidRPr="00C53581">
        <w:rPr>
          <w:lang w:val="en-US"/>
        </w:rPr>
        <w:t>Cristina Hirata Barros, Kit Cutler</w:t>
      </w:r>
      <w:r>
        <w:rPr>
          <w:lang w:val="en-US"/>
        </w:rPr>
        <w:t>/2009/</w:t>
      </w:r>
      <w:r w:rsidRPr="00961DDE">
        <w:rPr>
          <w:lang w:val="en-US"/>
        </w:rPr>
        <w:t xml:space="preserve">ISBN 978-0-8213-8111-3 (electronic). </w:t>
      </w:r>
      <w:r w:rsidRPr="00C53581">
        <w:rPr>
          <w:lang w:val="es-CO"/>
        </w:rPr>
        <w:t xml:space="preserve">Véase en </w:t>
      </w:r>
      <w:hyperlink r:id="rId6" w:history="1">
        <w:r w:rsidRPr="00225A0A">
          <w:rPr>
            <w:rStyle w:val="Hipervnculo"/>
            <w:lang w:val="es-CO"/>
          </w:rPr>
          <w:t>http://www-wds.worldbank.org/external/default/WDSContentServer/WDSP/IB/2010/01/04/000333037_20100104234901/Rendered/PDF/524570PUB0acco101Official0Use0Only1.pdf</w:t>
        </w:r>
      </w:hyperlink>
    </w:p>
  </w:footnote>
  <w:footnote w:id="9">
    <w:p w:rsidR="00704C1D" w:rsidRPr="00ED470F" w:rsidRDefault="00704C1D" w:rsidP="00E2676E">
      <w:pPr>
        <w:pStyle w:val="Textonotapie"/>
        <w:jc w:val="both"/>
      </w:pPr>
      <w:r>
        <w:rPr>
          <w:rStyle w:val="Refdenotaalpie"/>
        </w:rPr>
        <w:footnoteRef/>
      </w:r>
      <w:r w:rsidRPr="00ED470F">
        <w:t xml:space="preserve"> http://idbdocs.iadb.org/wsdocs/getdocument.aspx?docnum=832975</w:t>
      </w:r>
    </w:p>
  </w:footnote>
  <w:footnote w:id="10">
    <w:p w:rsidR="00704C1D" w:rsidRPr="002C3583" w:rsidRDefault="00704C1D" w:rsidP="00E2676E">
      <w:pPr>
        <w:pStyle w:val="Textonotapie"/>
        <w:jc w:val="both"/>
      </w:pPr>
      <w:r>
        <w:rPr>
          <w:rStyle w:val="Refdenotaalpie"/>
        </w:rPr>
        <w:footnoteRef/>
      </w:r>
      <w:r w:rsidRPr="002C3583">
        <w:t xml:space="preserve"> http://idbdocs.iadb.org/wsdocs/getdocument.aspx?docnum=1667752</w:t>
      </w:r>
    </w:p>
  </w:footnote>
  <w:footnote w:id="11">
    <w:p w:rsidR="00704C1D" w:rsidRPr="004057C3" w:rsidRDefault="00704C1D" w:rsidP="00E2676E">
      <w:pPr>
        <w:pStyle w:val="Textonotapie"/>
        <w:jc w:val="both"/>
      </w:pPr>
      <w:r>
        <w:rPr>
          <w:rStyle w:val="Refdenotaalpie"/>
        </w:rPr>
        <w:footnoteRef/>
      </w:r>
      <w:r w:rsidRPr="004057C3">
        <w:t xml:space="preserve"> http://idbdocs.iadb.org/wsdocs/getdocument.aspx?docnum=1668723</w:t>
      </w:r>
    </w:p>
  </w:footnote>
  <w:footnote w:id="12">
    <w:p w:rsidR="00704C1D" w:rsidRPr="00A63886" w:rsidRDefault="00704C1D" w:rsidP="00E2676E">
      <w:pPr>
        <w:pStyle w:val="Textonotapie"/>
        <w:jc w:val="both"/>
      </w:pPr>
      <w:r>
        <w:rPr>
          <w:rStyle w:val="Refdenotaalpie"/>
        </w:rPr>
        <w:footnoteRef/>
      </w:r>
      <w:r w:rsidRPr="00A63886">
        <w:t xml:space="preserve"> http://idbdocs.iadb.org/wsdocs/getdocument.aspx?docnum=429034</w:t>
      </w:r>
    </w:p>
  </w:footnote>
  <w:footnote w:id="13">
    <w:p w:rsidR="00704C1D" w:rsidRPr="00D42E24" w:rsidRDefault="00704C1D" w:rsidP="00E2676E">
      <w:pPr>
        <w:pStyle w:val="Textonotapie"/>
        <w:jc w:val="both"/>
      </w:pPr>
      <w:r>
        <w:rPr>
          <w:rStyle w:val="Refdenotaalpie"/>
        </w:rPr>
        <w:footnoteRef/>
      </w:r>
      <w:r w:rsidRPr="00D42E24">
        <w:t>http://idbdocs.iadb.org/wsdocs/getdocument.aspx?docnum=1803248</w:t>
      </w:r>
    </w:p>
  </w:footnote>
  <w:footnote w:id="14">
    <w:p w:rsidR="00704C1D" w:rsidRPr="00F01376" w:rsidRDefault="00704C1D" w:rsidP="00E2676E">
      <w:pPr>
        <w:pStyle w:val="Textonotapie"/>
        <w:jc w:val="both"/>
      </w:pPr>
      <w:r>
        <w:rPr>
          <w:rStyle w:val="Refdenotaalpie"/>
        </w:rPr>
        <w:footnoteRef/>
      </w:r>
      <w:r w:rsidRPr="00F01376">
        <w:t xml:space="preserve"> http://idbdocs.iadb.org/wsdocs/getdocument.aspx?docnum=1668982</w:t>
      </w:r>
    </w:p>
  </w:footnote>
  <w:footnote w:id="15">
    <w:p w:rsidR="00704C1D" w:rsidRPr="00AE0106" w:rsidRDefault="00704C1D" w:rsidP="00E2676E">
      <w:pPr>
        <w:pStyle w:val="Textonotapie"/>
        <w:jc w:val="both"/>
      </w:pPr>
      <w:r>
        <w:rPr>
          <w:rStyle w:val="Refdenotaalpie"/>
        </w:rPr>
        <w:footnoteRef/>
      </w:r>
      <w:r w:rsidRPr="00AE0106">
        <w:t xml:space="preserve"> http://actualicese.com/Blogs/Colectividades/CTCP-RafaelFranco-29-01-2010.pdf</w:t>
      </w:r>
    </w:p>
  </w:footnote>
  <w:footnote w:id="16">
    <w:p w:rsidR="00704C1D" w:rsidRPr="00197D06" w:rsidRDefault="00704C1D" w:rsidP="00E2676E">
      <w:pPr>
        <w:pStyle w:val="Textonotapie"/>
        <w:jc w:val="both"/>
      </w:pPr>
      <w:r>
        <w:rPr>
          <w:rStyle w:val="Refdenotaalpie"/>
        </w:rPr>
        <w:footnoteRef/>
      </w:r>
      <w:r w:rsidRPr="00197D06">
        <w:t>http://www.javeriana.edu.co/personales/hbermude/leycontable/contadores/2010-decreto-691.pdf</w:t>
      </w:r>
    </w:p>
  </w:footnote>
  <w:footnote w:id="17">
    <w:p w:rsidR="00704C1D" w:rsidRPr="002A1275" w:rsidRDefault="00704C1D" w:rsidP="00E2676E">
      <w:pPr>
        <w:pStyle w:val="Textonotapie"/>
        <w:jc w:val="both"/>
      </w:pPr>
      <w:r>
        <w:rPr>
          <w:rStyle w:val="Refdenotaalpie"/>
        </w:rPr>
        <w:footnoteRef/>
      </w:r>
      <w:r w:rsidRPr="002A1275">
        <w:t xml:space="preserve"> http://www.secretariasenado.gov.co/senado/basedoc/ley/1998/ley_0489_1998.html</w:t>
      </w:r>
    </w:p>
  </w:footnote>
  <w:footnote w:id="18">
    <w:p w:rsidR="00704C1D" w:rsidRPr="008461F7" w:rsidRDefault="00704C1D" w:rsidP="00E2676E">
      <w:pPr>
        <w:pStyle w:val="Textonotapie"/>
        <w:jc w:val="both"/>
      </w:pPr>
      <w:r>
        <w:rPr>
          <w:rStyle w:val="Refdenotaalpie"/>
        </w:rPr>
        <w:footnoteRef/>
      </w:r>
      <w:hyperlink r:id="rId7" w:history="1">
        <w:r w:rsidRPr="00225A0A">
          <w:rPr>
            <w:rStyle w:val="Hipervnculo"/>
          </w:rPr>
          <w:t>http://www.dnp.gov.co/PortalWeb/LinkClick.aspx?fileticket=hbirGtyhEgM=&amp;tabid=1063</w:t>
        </w:r>
      </w:hyperlink>
    </w:p>
  </w:footnote>
  <w:footnote w:id="19">
    <w:p w:rsidR="00704C1D" w:rsidRPr="00272D86" w:rsidRDefault="00704C1D" w:rsidP="00E2676E">
      <w:pPr>
        <w:pStyle w:val="Textonotapie"/>
        <w:jc w:val="both"/>
      </w:pPr>
      <w:r>
        <w:rPr>
          <w:rStyle w:val="Refdenotaalpie"/>
        </w:rPr>
        <w:footnoteRef/>
      </w:r>
      <w:r w:rsidRPr="00272D86">
        <w:t>http://www.javeriana.edu.co/personales/hbermude/contrapartida/contrapartida192.doc</w:t>
      </w:r>
    </w:p>
  </w:footnote>
  <w:footnote w:id="20">
    <w:p w:rsidR="00704C1D" w:rsidRPr="003160D4" w:rsidRDefault="00704C1D" w:rsidP="00E2676E">
      <w:pPr>
        <w:pStyle w:val="Textonotapie"/>
        <w:jc w:val="both"/>
      </w:pPr>
      <w:r>
        <w:rPr>
          <w:rStyle w:val="Refdenotaalpie"/>
        </w:rPr>
        <w:footnoteRef/>
      </w:r>
      <w:hyperlink r:id="rId8" w:history="1">
        <w:r w:rsidRPr="00225A0A">
          <w:rPr>
            <w:rStyle w:val="Hipervnculo"/>
          </w:rPr>
          <w:t>http://www.efrag.org/homepage.asp</w:t>
        </w:r>
      </w:hyperlink>
    </w:p>
  </w:footnote>
  <w:footnote w:id="21">
    <w:p w:rsidR="00704C1D" w:rsidRDefault="00704C1D" w:rsidP="00D16F24">
      <w:pPr>
        <w:pStyle w:val="Textonotapie"/>
        <w:rPr>
          <w:rFonts w:ascii="Bell MT" w:hAnsi="Bell MT"/>
          <w:lang w:val="es-CO"/>
        </w:rPr>
      </w:pPr>
      <w:r>
        <w:rPr>
          <w:rStyle w:val="Refdenotaalpie"/>
        </w:rPr>
        <w:footnoteRef/>
      </w:r>
      <w:r>
        <w:rPr>
          <w:lang w:val="es-CO"/>
        </w:rPr>
        <w:t>Artículo 1 Ley 1314 de 2009.</w:t>
      </w:r>
    </w:p>
  </w:footnote>
  <w:footnote w:id="22">
    <w:p w:rsidR="00704C1D" w:rsidRDefault="00704C1D" w:rsidP="00D16F24">
      <w:pPr>
        <w:pStyle w:val="Textonotapie"/>
        <w:rPr>
          <w:lang w:val="es-CO"/>
        </w:rPr>
      </w:pPr>
      <w:r>
        <w:rPr>
          <w:rStyle w:val="Refdenotaalpie"/>
        </w:rPr>
        <w:footnoteRef/>
      </w:r>
      <w:r>
        <w:t xml:space="preserve"> Numeral 1 Artículo 7 Ley 1314 de 2009.</w:t>
      </w:r>
    </w:p>
  </w:footnote>
  <w:footnote w:id="23">
    <w:p w:rsidR="00704C1D" w:rsidRDefault="00704C1D" w:rsidP="00D16F24">
      <w:pPr>
        <w:pStyle w:val="Textonotapie"/>
        <w:rPr>
          <w:lang w:val="es-CO"/>
        </w:rPr>
      </w:pPr>
      <w:r>
        <w:rPr>
          <w:rStyle w:val="Refdenotaalpie"/>
        </w:rPr>
        <w:footnoteRef/>
      </w:r>
      <w:r>
        <w:t xml:space="preserve"> Numeral 1 Artículo 7 Ley 1314 de 2009.</w:t>
      </w:r>
    </w:p>
  </w:footnote>
  <w:footnote w:id="24">
    <w:p w:rsidR="00704C1D" w:rsidRDefault="00704C1D" w:rsidP="00D16F24">
      <w:pPr>
        <w:pStyle w:val="Textonotapie"/>
        <w:rPr>
          <w:lang w:val="es-CO"/>
        </w:rPr>
      </w:pPr>
      <w:r>
        <w:rPr>
          <w:rStyle w:val="Refdenotaalpie"/>
        </w:rPr>
        <w:footnoteRef/>
      </w:r>
      <w:r>
        <w:t xml:space="preserve"> Numeral 1 Artículo 7 Ley 1314 de 2009.</w:t>
      </w:r>
    </w:p>
  </w:footnote>
  <w:footnote w:id="25">
    <w:p w:rsidR="00704C1D" w:rsidRDefault="00704C1D" w:rsidP="00D16F24">
      <w:pPr>
        <w:pStyle w:val="Textonotapie"/>
        <w:rPr>
          <w:lang w:val="es-CO"/>
        </w:rPr>
      </w:pPr>
      <w:r>
        <w:rPr>
          <w:rStyle w:val="Refdenotaalpie"/>
        </w:rPr>
        <w:footnoteRef/>
      </w:r>
      <w:r>
        <w:rPr>
          <w:lang w:val="es-CO"/>
        </w:rPr>
        <w:t>Numeral 2 Artículo 8 Ley 1314 de 2009.</w:t>
      </w:r>
    </w:p>
  </w:footnote>
  <w:footnote w:id="26">
    <w:p w:rsidR="00704C1D" w:rsidRDefault="00704C1D" w:rsidP="00D16F24">
      <w:pPr>
        <w:pStyle w:val="Textonotapie"/>
      </w:pPr>
      <w:r>
        <w:rPr>
          <w:rStyle w:val="Refdenotaalpie"/>
        </w:rPr>
        <w:footnoteRef/>
      </w:r>
      <w:r>
        <w:t xml:space="preserve"> Numeral 2 Ley 1314 de 2009.</w:t>
      </w:r>
    </w:p>
  </w:footnote>
  <w:footnote w:id="27">
    <w:p w:rsidR="00704C1D" w:rsidRDefault="00704C1D" w:rsidP="00D16F24">
      <w:pPr>
        <w:pStyle w:val="Textonotapie"/>
        <w:rPr>
          <w:lang w:val="es-CO"/>
        </w:rPr>
      </w:pPr>
      <w:r>
        <w:rPr>
          <w:rStyle w:val="Refdenotaalpie"/>
        </w:rPr>
        <w:footnoteRef/>
      </w:r>
      <w:r>
        <w:rPr>
          <w:lang w:val="es-CO"/>
        </w:rPr>
        <w:t>Numeral 9 Artículo 8 Ley 131 4 de 2009.</w:t>
      </w:r>
    </w:p>
  </w:footnote>
  <w:footnote w:id="28">
    <w:p w:rsidR="00704C1D" w:rsidRDefault="00704C1D" w:rsidP="00D16F24">
      <w:pPr>
        <w:pStyle w:val="Textonotapie"/>
      </w:pPr>
      <w:r>
        <w:rPr>
          <w:rStyle w:val="Refdenotaalpie"/>
        </w:rPr>
        <w:footnoteRef/>
      </w:r>
      <w:r>
        <w:t xml:space="preserve"> Numeral 2, Ley 1314 de 2009.</w:t>
      </w:r>
    </w:p>
  </w:footnote>
  <w:footnote w:id="29">
    <w:p w:rsidR="00704C1D" w:rsidRDefault="00704C1D" w:rsidP="00D16F24">
      <w:pPr>
        <w:pStyle w:val="Textonotapie"/>
      </w:pPr>
      <w:r>
        <w:rPr>
          <w:rStyle w:val="Refdenotaalpie"/>
        </w:rPr>
        <w:footnoteRef/>
      </w:r>
      <w:r>
        <w:t xml:space="preserve"> Numeral 11 Artículo 8 Ley 1314 de 2009.</w:t>
      </w:r>
    </w:p>
  </w:footnote>
  <w:footnote w:id="30">
    <w:p w:rsidR="00704C1D" w:rsidRDefault="00704C1D" w:rsidP="00D16F24">
      <w:pPr>
        <w:pStyle w:val="Textonotapie"/>
      </w:pPr>
      <w:r>
        <w:rPr>
          <w:rStyle w:val="Refdenotaalpie"/>
        </w:rPr>
        <w:footnoteRef/>
      </w:r>
      <w:r>
        <w:t xml:space="preserve"> Numeral 2 Artículo 8 Ley 1314 de 2009.</w:t>
      </w:r>
    </w:p>
  </w:footnote>
  <w:footnote w:id="31">
    <w:p w:rsidR="00704C1D" w:rsidRDefault="00704C1D" w:rsidP="00D16F24">
      <w:pPr>
        <w:pStyle w:val="Textonotapie"/>
      </w:pPr>
      <w:r>
        <w:rPr>
          <w:rStyle w:val="Refdenotaalpie"/>
        </w:rPr>
        <w:footnoteRef/>
      </w:r>
      <w:r>
        <w:t xml:space="preserve"> Numeral 9 Artículo 8 Ley 1314 de 2009.</w:t>
      </w:r>
    </w:p>
  </w:footnote>
  <w:footnote w:id="32">
    <w:p w:rsidR="00704C1D" w:rsidRDefault="00704C1D" w:rsidP="00D16F24">
      <w:pPr>
        <w:pStyle w:val="Textonotapie"/>
        <w:rPr>
          <w:lang w:val="es-CO"/>
        </w:rPr>
      </w:pPr>
      <w:r>
        <w:rPr>
          <w:rStyle w:val="Refdenotaalpie"/>
        </w:rPr>
        <w:footnoteRef/>
      </w:r>
      <w:r>
        <w:rPr>
          <w:lang w:val="es-CO"/>
        </w:rPr>
        <w:t>Numeral 6 Artículo 7 Ley 1314 de 2009.</w:t>
      </w:r>
    </w:p>
  </w:footnote>
  <w:footnote w:id="33">
    <w:p w:rsidR="00704C1D" w:rsidRDefault="00704C1D" w:rsidP="001607EF">
      <w:pPr>
        <w:pStyle w:val="Textonotapie"/>
        <w:rPr>
          <w:rFonts w:ascii="Bell MT" w:hAnsi="Bell MT"/>
          <w:lang w:val="es-CO"/>
        </w:rPr>
      </w:pPr>
      <w:r>
        <w:rPr>
          <w:rStyle w:val="Refdenotaalpie"/>
        </w:rPr>
        <w:footnoteRef/>
      </w:r>
      <w:r>
        <w:rPr>
          <w:lang w:val="es-CO"/>
        </w:rPr>
        <w:t>Numeral 1 Artículo 8 Ley 1314 de 2009.</w:t>
      </w:r>
    </w:p>
  </w:footnote>
  <w:footnote w:id="34">
    <w:p w:rsidR="00704C1D" w:rsidRDefault="00704C1D" w:rsidP="001607EF">
      <w:pPr>
        <w:pStyle w:val="Textonotapie"/>
        <w:rPr>
          <w:lang w:val="es-CO"/>
        </w:rPr>
      </w:pPr>
      <w:r>
        <w:rPr>
          <w:rStyle w:val="Refdenotaalpie"/>
        </w:rPr>
        <w:footnoteRef/>
      </w:r>
      <w:r>
        <w:rPr>
          <w:lang w:val="es-CO"/>
        </w:rPr>
        <w:t>Numeral 3 Artículo 8 Ley 1314 de 2009.</w:t>
      </w:r>
    </w:p>
  </w:footnote>
  <w:footnote w:id="35">
    <w:p w:rsidR="00704C1D" w:rsidRDefault="00704C1D" w:rsidP="001607EF">
      <w:pPr>
        <w:pStyle w:val="Textonotapie"/>
        <w:rPr>
          <w:lang w:val="es-CO"/>
        </w:rPr>
      </w:pPr>
      <w:r>
        <w:rPr>
          <w:rStyle w:val="Refdenotaalpie"/>
        </w:rPr>
        <w:footnoteRef/>
      </w:r>
      <w:r>
        <w:rPr>
          <w:lang w:val="es-CO"/>
        </w:rPr>
        <w:t>Numeral 4 Artículo 8 Ley 1314 de 2009.</w:t>
      </w:r>
    </w:p>
  </w:footnote>
  <w:footnote w:id="36">
    <w:p w:rsidR="00704C1D" w:rsidRDefault="00704C1D" w:rsidP="001607EF">
      <w:pPr>
        <w:pStyle w:val="Textonotapie"/>
        <w:rPr>
          <w:lang w:val="es-CO"/>
        </w:rPr>
      </w:pPr>
      <w:r>
        <w:rPr>
          <w:rStyle w:val="Refdenotaalpie"/>
        </w:rPr>
        <w:footnoteRef/>
      </w:r>
      <w:r>
        <w:rPr>
          <w:lang w:val="es-CO"/>
        </w:rPr>
        <w:t>Numeral 8 Artículo 8 Ley 1314 de 2009.</w:t>
      </w:r>
    </w:p>
  </w:footnote>
  <w:footnote w:id="37">
    <w:p w:rsidR="00704C1D" w:rsidRDefault="00704C1D" w:rsidP="001607EF">
      <w:pPr>
        <w:pStyle w:val="Textonotapie"/>
        <w:rPr>
          <w:lang w:val="es-CO"/>
        </w:rPr>
      </w:pPr>
      <w:r>
        <w:rPr>
          <w:rStyle w:val="Refdenotaalpie"/>
        </w:rPr>
        <w:footnoteRef/>
      </w:r>
      <w:r>
        <w:rPr>
          <w:lang w:val="es-CO"/>
        </w:rPr>
        <w:t>Numeral 7 Artículo 8 ley 1314 de 2009.</w:t>
      </w:r>
    </w:p>
  </w:footnote>
  <w:footnote w:id="38">
    <w:p w:rsidR="00704C1D" w:rsidRDefault="00704C1D" w:rsidP="001607EF">
      <w:pPr>
        <w:pStyle w:val="Textonotapie"/>
        <w:rPr>
          <w:lang w:val="es-CO"/>
        </w:rPr>
      </w:pPr>
      <w:r>
        <w:rPr>
          <w:rStyle w:val="Refdenotaalpie"/>
        </w:rPr>
        <w:footnoteRef/>
      </w:r>
      <w:r>
        <w:rPr>
          <w:lang w:val="es-CO"/>
        </w:rPr>
        <w:t>Numeral 11 Artículo 8 Ley 1314 de 2009.</w:t>
      </w:r>
    </w:p>
  </w:footnote>
  <w:footnote w:id="39">
    <w:p w:rsidR="00704C1D" w:rsidRDefault="00704C1D" w:rsidP="001607EF">
      <w:pPr>
        <w:pStyle w:val="Textonotapie"/>
        <w:rPr>
          <w:lang w:val="es-CO"/>
        </w:rPr>
      </w:pPr>
      <w:r>
        <w:rPr>
          <w:rStyle w:val="Refdenotaalpie"/>
        </w:rPr>
        <w:footnoteRef/>
      </w:r>
      <w:r>
        <w:rPr>
          <w:lang w:val="es-CO"/>
        </w:rPr>
        <w:t>Numeral 8 Artículo 8 Ley 1314 de 2009.</w:t>
      </w:r>
    </w:p>
  </w:footnote>
  <w:footnote w:id="40">
    <w:p w:rsidR="00704C1D" w:rsidRDefault="00704C1D" w:rsidP="001607EF">
      <w:pPr>
        <w:pStyle w:val="Textonotapie"/>
        <w:rPr>
          <w:lang w:val="es-CO"/>
        </w:rPr>
      </w:pPr>
      <w:r>
        <w:rPr>
          <w:rStyle w:val="Refdenotaalpie"/>
        </w:rPr>
        <w:footnoteRef/>
      </w:r>
      <w:r>
        <w:rPr>
          <w:lang w:val="es-CO"/>
        </w:rPr>
        <w:t>Numeral 3 Artículo 7 Ley 1314 de 2009.</w:t>
      </w:r>
    </w:p>
  </w:footnote>
  <w:footnote w:id="41">
    <w:p w:rsidR="00704C1D" w:rsidRDefault="00704C1D" w:rsidP="001607EF">
      <w:pPr>
        <w:pStyle w:val="Textonotapie"/>
        <w:rPr>
          <w:lang w:val="es-CO"/>
        </w:rPr>
      </w:pPr>
      <w:r>
        <w:rPr>
          <w:rStyle w:val="Refdenotaalpie"/>
        </w:rPr>
        <w:footnoteRef/>
      </w:r>
      <w:r>
        <w:rPr>
          <w:lang w:val="es-CO"/>
        </w:rPr>
        <w:t>Numeral 1 Artículo 7 Ley 1314 de 2009.</w:t>
      </w:r>
    </w:p>
  </w:footnote>
  <w:footnote w:id="42">
    <w:p w:rsidR="00704C1D" w:rsidRDefault="00704C1D" w:rsidP="001607EF">
      <w:pPr>
        <w:pStyle w:val="Textonotapie"/>
        <w:rPr>
          <w:lang w:val="es-CO"/>
        </w:rPr>
      </w:pPr>
      <w:r>
        <w:rPr>
          <w:rStyle w:val="Refdenotaalpie"/>
        </w:rPr>
        <w:footnoteRef/>
      </w:r>
      <w:r>
        <w:rPr>
          <w:lang w:val="es-CO"/>
        </w:rPr>
        <w:t>Numeral 2 Artículo 7 Ley 1314 de 2009.</w:t>
      </w:r>
    </w:p>
  </w:footnote>
  <w:footnote w:id="43">
    <w:p w:rsidR="00704C1D" w:rsidRDefault="00704C1D" w:rsidP="001607EF">
      <w:pPr>
        <w:pStyle w:val="Textonotapie"/>
        <w:rPr>
          <w:lang w:val="es-CO"/>
        </w:rPr>
      </w:pPr>
      <w:r>
        <w:rPr>
          <w:rStyle w:val="Refdenotaalpie"/>
        </w:rPr>
        <w:footnoteRef/>
      </w:r>
      <w:r>
        <w:rPr>
          <w:lang w:val="es-CO"/>
        </w:rPr>
        <w:t>Numeral 2 Artículo 7 Ley 1314 de 2009.</w:t>
      </w:r>
    </w:p>
  </w:footnote>
  <w:footnote w:id="44">
    <w:p w:rsidR="00704C1D" w:rsidRDefault="00704C1D" w:rsidP="001607EF">
      <w:pPr>
        <w:pStyle w:val="Textonotapie"/>
        <w:rPr>
          <w:lang w:val="es-CO"/>
        </w:rPr>
      </w:pPr>
      <w:r>
        <w:rPr>
          <w:rStyle w:val="Refdenotaalpie"/>
        </w:rPr>
        <w:footnoteRef/>
      </w:r>
      <w:r>
        <w:rPr>
          <w:lang w:val="es-CO"/>
        </w:rPr>
        <w:t>Numeral 3 Artículo 7 Ley 1314 de 2009.</w:t>
      </w:r>
    </w:p>
  </w:footnote>
  <w:footnote w:id="45">
    <w:p w:rsidR="00704C1D" w:rsidRDefault="00704C1D" w:rsidP="001607EF">
      <w:pPr>
        <w:pStyle w:val="Textonotapie"/>
        <w:rPr>
          <w:lang w:val="es-CO"/>
        </w:rPr>
      </w:pPr>
      <w:r>
        <w:rPr>
          <w:rStyle w:val="Refdenotaalpie"/>
        </w:rPr>
        <w:footnoteRef/>
      </w:r>
      <w:r>
        <w:rPr>
          <w:lang w:val="es-CO"/>
        </w:rPr>
        <w:t>Numeral 4 Artículo 7 Ley 1314 de 2009.</w:t>
      </w:r>
    </w:p>
  </w:footnote>
  <w:footnote w:id="46">
    <w:p w:rsidR="00704C1D" w:rsidRDefault="00704C1D" w:rsidP="001607EF">
      <w:pPr>
        <w:pStyle w:val="Textonotapie"/>
        <w:rPr>
          <w:lang w:val="es-CO"/>
        </w:rPr>
      </w:pPr>
      <w:r>
        <w:rPr>
          <w:rStyle w:val="Refdenotaalpie"/>
        </w:rPr>
        <w:footnoteRef/>
      </w:r>
      <w:r>
        <w:rPr>
          <w:lang w:val="es-CO"/>
        </w:rPr>
        <w:t>Parágrafo artículo 13 y Artículo 14  Ley 1314 de 2009.</w:t>
      </w:r>
    </w:p>
  </w:footnote>
  <w:footnote w:id="47">
    <w:p w:rsidR="00704C1D" w:rsidRDefault="00704C1D" w:rsidP="001607EF">
      <w:pPr>
        <w:pStyle w:val="Textonotapie"/>
        <w:rPr>
          <w:lang w:val="es-CO"/>
        </w:rPr>
      </w:pPr>
      <w:r>
        <w:rPr>
          <w:rStyle w:val="Refdenotaalpie"/>
        </w:rPr>
        <w:footnoteRef/>
      </w:r>
      <w:hyperlink r:id="rId9" w:history="1">
        <w:r>
          <w:rPr>
            <w:rStyle w:val="Hipervnculo"/>
          </w:rPr>
          <w:t>http://www.iasb.org/How+we+develop+standards/Development+and+publication.htm</w:t>
        </w:r>
      </w:hyperlink>
    </w:p>
  </w:footnote>
  <w:footnote w:id="48">
    <w:p w:rsidR="00704C1D" w:rsidRPr="001D0504" w:rsidRDefault="00704C1D" w:rsidP="00E2676E">
      <w:pPr>
        <w:pStyle w:val="Textonotapie"/>
        <w:jc w:val="both"/>
        <w:rPr>
          <w:lang w:val="en-US"/>
        </w:rPr>
      </w:pPr>
      <w:r>
        <w:rPr>
          <w:rStyle w:val="Refdenotaalpie"/>
        </w:rPr>
        <w:footnoteRef/>
      </w:r>
      <w:r w:rsidRPr="001D0504">
        <w:rPr>
          <w:lang w:val="en-US"/>
        </w:rPr>
        <w:t>Practical implementation of internationalfinancial reporting standards: Lessonslearned</w:t>
      </w:r>
      <w:r>
        <w:rPr>
          <w:lang w:val="en-US"/>
        </w:rPr>
        <w:t>/</w:t>
      </w:r>
      <w:r w:rsidRPr="001D0504">
        <w:rPr>
          <w:lang w:val="en-US"/>
        </w:rPr>
        <w:t xml:space="preserve"> United Nations</w:t>
      </w:r>
      <w:r>
        <w:rPr>
          <w:lang w:val="en-US"/>
        </w:rPr>
        <w:t xml:space="preserve">/ </w:t>
      </w:r>
      <w:r w:rsidRPr="001D0504">
        <w:rPr>
          <w:lang w:val="en-US"/>
        </w:rPr>
        <w:t>New York and Geneva</w:t>
      </w:r>
      <w:r>
        <w:rPr>
          <w:lang w:val="en-US"/>
        </w:rPr>
        <w:t>/</w:t>
      </w:r>
      <w:r w:rsidRPr="001D0504">
        <w:rPr>
          <w:lang w:val="en-US"/>
        </w:rPr>
        <w:t xml:space="preserve"> 2008</w:t>
      </w:r>
      <w:r>
        <w:rPr>
          <w:lang w:val="en-US"/>
        </w:rPr>
        <w:t>/</w:t>
      </w:r>
      <w:r w:rsidRPr="00AF0905">
        <w:rPr>
          <w:lang w:val="en-US"/>
        </w:rPr>
        <w:t xml:space="preserve"> ISBN No. 978-92-1-127571-1</w:t>
      </w:r>
      <w:r>
        <w:rPr>
          <w:lang w:val="en-US"/>
        </w:rPr>
        <w:t>.</w:t>
      </w:r>
      <w:r w:rsidRPr="001D0504">
        <w:rPr>
          <w:lang w:val="en-US"/>
        </w:rPr>
        <w:t xml:space="preserve">Véase en </w:t>
      </w:r>
      <w:hyperlink r:id="rId10" w:history="1">
        <w:r w:rsidRPr="001D0504">
          <w:rPr>
            <w:rStyle w:val="Hipervnculo"/>
            <w:lang w:val="en-US"/>
          </w:rPr>
          <w:t>http://unctad.org/en/docs/diaeed20081_en.pdf</w:t>
        </w:r>
      </w:hyperlink>
    </w:p>
  </w:footnote>
  <w:footnote w:id="49">
    <w:p w:rsidR="00704C1D" w:rsidRPr="00A600B0" w:rsidRDefault="00704C1D" w:rsidP="00A600B0">
      <w:pPr>
        <w:pStyle w:val="Textonotapie"/>
        <w:rPr>
          <w:lang w:val="es-CO"/>
        </w:rPr>
      </w:pPr>
      <w:r>
        <w:rPr>
          <w:rStyle w:val="Refdenotaalpie"/>
        </w:rPr>
        <w:footnoteRef/>
      </w:r>
      <w:r w:rsidRPr="00A600B0">
        <w:rPr>
          <w:lang w:val="es-CO"/>
        </w:rPr>
        <w:t xml:space="preserve"> JUNTA DE COMERCIO Y DESARROLLO</w:t>
      </w:r>
      <w:r>
        <w:rPr>
          <w:lang w:val="es-CO"/>
        </w:rPr>
        <w:t xml:space="preserve">, </w:t>
      </w:r>
      <w:r w:rsidRPr="00A600B0">
        <w:rPr>
          <w:lang w:val="es-CO"/>
        </w:rPr>
        <w:t>Comisión de la Inversión, la Tecnología y</w:t>
      </w:r>
      <w:r w:rsidR="00E01200">
        <w:rPr>
          <w:lang w:val="es-CO"/>
        </w:rPr>
        <w:t xml:space="preserve"> </w:t>
      </w:r>
      <w:r w:rsidRPr="00A600B0">
        <w:rPr>
          <w:lang w:val="es-CO"/>
        </w:rPr>
        <w:t>las Cuestiones Financieras Conexas</w:t>
      </w:r>
      <w:r>
        <w:rPr>
          <w:lang w:val="es-CO"/>
        </w:rPr>
        <w:t xml:space="preserve">. </w:t>
      </w:r>
      <w:r w:rsidRPr="00A600B0">
        <w:rPr>
          <w:lang w:val="es-CO"/>
        </w:rPr>
        <w:t>Grupo de Trabajo Intergubernamental de</w:t>
      </w:r>
      <w:r w:rsidR="00E01200">
        <w:rPr>
          <w:lang w:val="es-CO"/>
        </w:rPr>
        <w:t xml:space="preserve"> </w:t>
      </w:r>
      <w:r w:rsidRPr="00A600B0">
        <w:rPr>
          <w:lang w:val="es-CO"/>
        </w:rPr>
        <w:t>Expertos en Normas Internacionales de</w:t>
      </w:r>
      <w:r w:rsidR="00E01200">
        <w:rPr>
          <w:lang w:val="es-CO"/>
        </w:rPr>
        <w:t xml:space="preserve"> </w:t>
      </w:r>
      <w:r w:rsidRPr="00A600B0">
        <w:rPr>
          <w:lang w:val="es-CO"/>
        </w:rPr>
        <w:t>Contabilidad y Presentación de Informes</w:t>
      </w:r>
      <w:r>
        <w:rPr>
          <w:lang w:val="es-CO"/>
        </w:rPr>
        <w:t xml:space="preserve">. </w:t>
      </w:r>
      <w:r w:rsidRPr="00A600B0">
        <w:rPr>
          <w:lang w:val="es-CO"/>
        </w:rPr>
        <w:t>17º período de sesiones,</w:t>
      </w:r>
      <w:r w:rsidR="00E01200">
        <w:rPr>
          <w:lang w:val="es-CO"/>
        </w:rPr>
        <w:t xml:space="preserve"> </w:t>
      </w:r>
      <w:r w:rsidRPr="00A600B0">
        <w:rPr>
          <w:lang w:val="es-CO"/>
        </w:rPr>
        <w:t>Ginebra, 3 a 5 de julio de 2000</w:t>
      </w:r>
      <w:r>
        <w:rPr>
          <w:lang w:val="es-CO"/>
        </w:rPr>
        <w:t xml:space="preserve">. </w:t>
      </w:r>
      <w:r w:rsidRPr="00A600B0">
        <w:rPr>
          <w:lang w:val="es-CO"/>
        </w:rPr>
        <w:t>Tema 3 del programa provisional</w:t>
      </w:r>
      <w:r w:rsidR="00E01200">
        <w:rPr>
          <w:lang w:val="es-CO"/>
        </w:rPr>
        <w:t xml:space="preserve"> </w:t>
      </w:r>
      <w:r w:rsidRPr="00A600B0">
        <w:rPr>
          <w:lang w:val="es-CO"/>
        </w:rPr>
        <w:t>CONTABILIDAD DE LAS PEQUEÑAS Y MEDIANAS EMPRESAS</w:t>
      </w:r>
      <w:r w:rsidR="00E01200">
        <w:rPr>
          <w:lang w:val="es-CO"/>
        </w:rPr>
        <w:t xml:space="preserve"> </w:t>
      </w:r>
      <w:r w:rsidRPr="00A600B0">
        <w:rPr>
          <w:lang w:val="es-CO"/>
        </w:rPr>
        <w:t>Informe de la secretaría de la UNCTADTD/B/COM.2/ISAR/9 y Corr.120 de abril de 2000</w:t>
      </w:r>
      <w:r>
        <w:rPr>
          <w:lang w:val="es-CO"/>
        </w:rPr>
        <w:t xml:space="preserve">. Véase en </w:t>
      </w:r>
      <w:hyperlink r:id="rId11" w:history="1">
        <w:r w:rsidRPr="00225A0A">
          <w:rPr>
            <w:rStyle w:val="Hipervnculo"/>
            <w:lang w:val="es-CO"/>
          </w:rPr>
          <w:t>http://www.unctad.org/sp/docs/c2isard9&amp;c1.sp.pdf</w:t>
        </w:r>
      </w:hyperlink>
    </w:p>
  </w:footnote>
  <w:footnote w:id="50">
    <w:p w:rsidR="00704C1D" w:rsidRPr="009A07A0" w:rsidRDefault="00704C1D">
      <w:pPr>
        <w:pStyle w:val="Textonotapie"/>
        <w:rPr>
          <w:lang w:val="es-CO"/>
        </w:rPr>
      </w:pPr>
      <w:r>
        <w:rPr>
          <w:rStyle w:val="Refdenotaalpie"/>
        </w:rPr>
        <w:footnoteRef/>
      </w:r>
      <w:r w:rsidRPr="009A07A0">
        <w:rPr>
          <w:lang w:val="es-CO"/>
        </w:rPr>
        <w:t xml:space="preserve"> Párrafo segundo del artículo 2° de la ley 1314 de 2009.</w:t>
      </w:r>
    </w:p>
  </w:footnote>
  <w:footnote w:id="51">
    <w:p w:rsidR="00704C1D" w:rsidRPr="00021B65" w:rsidRDefault="00704C1D" w:rsidP="00E2676E">
      <w:pPr>
        <w:jc w:val="both"/>
      </w:pPr>
      <w:r>
        <w:rPr>
          <w:rStyle w:val="Refdenotaalpie"/>
        </w:rPr>
        <w:footnoteRef/>
      </w:r>
      <w:r w:rsidRPr="009A07A0">
        <w:rPr>
          <w:lang w:val="en-US"/>
        </w:rPr>
        <w:t>Implementation of International Accounting and Auditing Standards.</w:t>
      </w:r>
      <w:r w:rsidR="00E01200">
        <w:rPr>
          <w:lang w:val="en-US"/>
        </w:rPr>
        <w:t xml:space="preserve"> </w:t>
      </w:r>
      <w:r w:rsidRPr="00A600B0">
        <w:t>Lessons</w:t>
      </w:r>
      <w:r w:rsidR="00E01200">
        <w:t xml:space="preserve"> </w:t>
      </w:r>
      <w:r w:rsidRPr="00A600B0">
        <w:t>Learned</w:t>
      </w:r>
      <w:r w:rsidR="00E01200">
        <w:t xml:space="preserve"> </w:t>
      </w:r>
      <w:r w:rsidRPr="00A600B0">
        <w:t>from</w:t>
      </w:r>
      <w:r w:rsidR="00E01200">
        <w:t xml:space="preserve"> </w:t>
      </w:r>
      <w:r w:rsidRPr="00A600B0">
        <w:t>the</w:t>
      </w:r>
      <w:r w:rsidR="00E01200">
        <w:t xml:space="preserve"> </w:t>
      </w:r>
      <w:r w:rsidRPr="00A600B0">
        <w:t>World</w:t>
      </w:r>
      <w:r w:rsidR="00E01200">
        <w:t xml:space="preserve"> </w:t>
      </w:r>
      <w:r w:rsidRPr="00A600B0">
        <w:t>Bank´s</w:t>
      </w:r>
      <w:r w:rsidR="00E01200">
        <w:t xml:space="preserve"> </w:t>
      </w:r>
      <w:r w:rsidRPr="00A600B0">
        <w:t>Accounting and Audi</w:t>
      </w:r>
      <w:r w:rsidRPr="00F91AE7">
        <w:rPr>
          <w:lang w:val="en-US"/>
        </w:rPr>
        <w:t>ting ROSC Program</w:t>
      </w:r>
      <w:r>
        <w:rPr>
          <w:lang w:val="en-US"/>
        </w:rPr>
        <w:t>. The World Bank.</w:t>
      </w:r>
      <w:r w:rsidR="000E2D89">
        <w:rPr>
          <w:lang w:val="en-US"/>
        </w:rPr>
        <w:t xml:space="preserve"> </w:t>
      </w:r>
      <w:r w:rsidRPr="00021B65">
        <w:t xml:space="preserve">Véase en </w:t>
      </w:r>
      <w:hyperlink r:id="rId12" w:history="1">
        <w:r w:rsidRPr="00021B65">
          <w:rPr>
            <w:rStyle w:val="Hipervnculo"/>
          </w:rPr>
          <w:t>http://www.worldbank.org/ifa/LessonsLearned_ROSC_AA.pdf</w:t>
        </w:r>
      </w:hyperlink>
    </w:p>
  </w:footnote>
  <w:footnote w:id="52">
    <w:p w:rsidR="00704C1D" w:rsidRDefault="00704C1D" w:rsidP="00E2676E">
      <w:pPr>
        <w:pStyle w:val="Textonotapie"/>
        <w:jc w:val="both"/>
        <w:rPr>
          <w:lang w:val="es-CO"/>
        </w:rPr>
      </w:pPr>
      <w:r>
        <w:rPr>
          <w:rStyle w:val="Refdenotaalpie"/>
        </w:rPr>
        <w:footnoteRef/>
      </w:r>
      <w:r w:rsidRPr="00021B65">
        <w:rPr>
          <w:lang w:val="es-CO"/>
        </w:rPr>
        <w:t xml:space="preserve"> Puede consultarse en:</w:t>
      </w:r>
    </w:p>
    <w:p w:rsidR="00704C1D" w:rsidRPr="00021B65" w:rsidRDefault="00F94635" w:rsidP="00E2676E">
      <w:pPr>
        <w:pStyle w:val="Textonotapie"/>
        <w:jc w:val="both"/>
        <w:rPr>
          <w:lang w:val="es-CO"/>
        </w:rPr>
      </w:pPr>
      <w:hyperlink r:id="rId13" w:history="1">
        <w:r w:rsidR="00704C1D" w:rsidRPr="00021B65">
          <w:rPr>
            <w:rStyle w:val="Hipervnculo"/>
            <w:lang w:val="es-CO"/>
          </w:rPr>
          <w:t>http://www-wds.worldbank.org/external/default/WDSContentServer/WDSP/IB/2010/01/04/000333037_20100104234901/Rendered/PDF/524570PUB0acco101Official0Use0Only1.pdf</w:t>
        </w:r>
      </w:hyperlink>
    </w:p>
  </w:footnote>
  <w:footnote w:id="53">
    <w:p w:rsidR="00704C1D" w:rsidRPr="0066013E" w:rsidRDefault="00704C1D" w:rsidP="00E2676E">
      <w:pPr>
        <w:pStyle w:val="Textonotapie"/>
        <w:jc w:val="both"/>
        <w:rPr>
          <w:lang w:val="es-CO"/>
        </w:rPr>
      </w:pPr>
      <w:r>
        <w:rPr>
          <w:rStyle w:val="Refdenotaalpie"/>
        </w:rPr>
        <w:footnoteRef/>
      </w:r>
      <w:hyperlink r:id="rId14" w:history="1">
        <w:r w:rsidRPr="00225A0A">
          <w:rPr>
            <w:rStyle w:val="Hipervnculo"/>
            <w:lang w:val="es-CO"/>
          </w:rPr>
          <w:t>http://www.sec.gov/rules/proposed/2008/33-8982.pdf</w:t>
        </w:r>
      </w:hyperlink>
    </w:p>
  </w:footnote>
  <w:footnote w:id="54">
    <w:p w:rsidR="00704C1D" w:rsidRPr="00C95A65" w:rsidRDefault="00704C1D" w:rsidP="00E2676E">
      <w:pPr>
        <w:pStyle w:val="Textonotapie"/>
        <w:jc w:val="both"/>
        <w:rPr>
          <w:lang w:val="es-CO"/>
        </w:rPr>
      </w:pPr>
      <w:r>
        <w:rPr>
          <w:rStyle w:val="Refdenotaalpie"/>
        </w:rPr>
        <w:footnoteRef/>
      </w:r>
      <w:hyperlink r:id="rId15" w:history="1">
        <w:r w:rsidRPr="00225A0A">
          <w:rPr>
            <w:rStyle w:val="Hipervnculo"/>
            <w:lang w:val="es-CO"/>
          </w:rPr>
          <w:t>http://www.iasplus.com/resource/0607canadaifrsplan.pdf</w:t>
        </w:r>
      </w:hyperlink>
    </w:p>
  </w:footnote>
  <w:footnote w:id="55">
    <w:p w:rsidR="00704C1D" w:rsidRPr="00695EC7" w:rsidRDefault="00704C1D" w:rsidP="00E2676E">
      <w:pPr>
        <w:pStyle w:val="Textonotapie"/>
        <w:jc w:val="both"/>
        <w:rPr>
          <w:lang w:val="es-CO"/>
        </w:rPr>
      </w:pPr>
      <w:r>
        <w:rPr>
          <w:rStyle w:val="Refdenotaalpie"/>
        </w:rPr>
        <w:footnoteRef/>
      </w:r>
      <w:r w:rsidRPr="00695EC7">
        <w:rPr>
          <w:lang w:val="es-CO"/>
        </w:rPr>
        <w:t xml:space="preserve"> http://www.ifrs.org/NR/rdonlyres/1E8D75B7-927F-495B-BE4A-04C9BE967097/0/DueProcess09.pdf</w:t>
      </w:r>
    </w:p>
  </w:footnote>
  <w:footnote w:id="56">
    <w:p w:rsidR="00704C1D" w:rsidRPr="00C95A65" w:rsidRDefault="00704C1D" w:rsidP="001232E6">
      <w:pPr>
        <w:pStyle w:val="Textonotapie"/>
        <w:jc w:val="both"/>
        <w:rPr>
          <w:lang w:val="es-CO"/>
        </w:rPr>
      </w:pPr>
      <w:r>
        <w:rPr>
          <w:rStyle w:val="Refdenotaalpie"/>
        </w:rPr>
        <w:footnoteRef/>
      </w:r>
      <w:hyperlink r:id="rId16" w:history="1">
        <w:r w:rsidRPr="00225A0A">
          <w:rPr>
            <w:rStyle w:val="Hipervnculo"/>
            <w:lang w:val="es-CO"/>
          </w:rPr>
          <w:t>http://www.iasplus.com/resource/0607canadaifrsplan.pdf</w:t>
        </w:r>
      </w:hyperlink>
    </w:p>
  </w:footnote>
  <w:footnote w:id="57">
    <w:p w:rsidR="00704C1D" w:rsidRPr="00576EE5" w:rsidRDefault="00704C1D" w:rsidP="00E2676E">
      <w:pPr>
        <w:pStyle w:val="Textonotapie"/>
        <w:jc w:val="both"/>
        <w:rPr>
          <w:lang w:val="en-US"/>
        </w:rPr>
      </w:pPr>
      <w:r>
        <w:rPr>
          <w:rStyle w:val="Refdenotaalpie"/>
        </w:rPr>
        <w:footnoteRef/>
      </w:r>
      <w:r w:rsidRPr="00576EE5">
        <w:rPr>
          <w:lang w:val="en-US"/>
        </w:rPr>
        <w:t xml:space="preserve"> Practical implementation of in</w:t>
      </w:r>
      <w:r>
        <w:rPr>
          <w:lang w:val="en-US"/>
        </w:rPr>
        <w:t xml:space="preserve">ternational financial reporting </w:t>
      </w:r>
      <w:r w:rsidRPr="00576EE5">
        <w:rPr>
          <w:lang w:val="en-US"/>
        </w:rPr>
        <w:t>standards: Lessons learned.</w:t>
      </w:r>
      <w:r w:rsidR="000E2D89">
        <w:rPr>
          <w:lang w:val="en-US"/>
        </w:rPr>
        <w:t xml:space="preserve"> </w:t>
      </w:r>
      <w:r w:rsidRPr="00576EE5">
        <w:rPr>
          <w:lang w:val="en-US"/>
        </w:rPr>
        <w:t>C</w:t>
      </w:r>
      <w:r>
        <w:rPr>
          <w:lang w:val="en-US"/>
        </w:rPr>
        <w:t>hapter 3.Case study of Germany.</w:t>
      </w:r>
    </w:p>
  </w:footnote>
  <w:footnote w:id="58">
    <w:p w:rsidR="00704C1D" w:rsidRPr="006E52F5" w:rsidRDefault="00704C1D" w:rsidP="00E2676E">
      <w:pPr>
        <w:pStyle w:val="Textonotapie"/>
        <w:jc w:val="both"/>
        <w:rPr>
          <w:lang w:val="en-US"/>
        </w:rPr>
      </w:pPr>
      <w:r>
        <w:rPr>
          <w:rStyle w:val="Refdenotaalpie"/>
        </w:rPr>
        <w:footnoteRef/>
      </w:r>
      <w:r w:rsidRPr="006E52F5">
        <w:rPr>
          <w:lang w:val="en-US"/>
        </w:rPr>
        <w:t>Accounting for Growth in Latin America and the Caribbean.</w:t>
      </w:r>
      <w:r w:rsidR="00762848">
        <w:rPr>
          <w:lang w:val="en-US"/>
        </w:rPr>
        <w:t xml:space="preserve"> </w:t>
      </w:r>
      <w:r w:rsidRPr="006E52F5">
        <w:rPr>
          <w:rFonts w:cs="MyriadPro-It"/>
          <w:iCs/>
          <w:lang w:val="en-US"/>
        </w:rPr>
        <w:t>Improving Corporate Financial Reporting to</w:t>
      </w:r>
      <w:r w:rsidR="00762848">
        <w:rPr>
          <w:rFonts w:cs="MyriadPro-It"/>
          <w:iCs/>
          <w:lang w:val="en-US"/>
        </w:rPr>
        <w:t xml:space="preserve"> </w:t>
      </w:r>
      <w:r w:rsidRPr="006E52F5">
        <w:rPr>
          <w:rFonts w:cs="MyriadPro-It"/>
          <w:iCs/>
          <w:lang w:val="en-US"/>
        </w:rPr>
        <w:t>Support Regional Economic Developmen</w:t>
      </w:r>
      <w:r>
        <w:rPr>
          <w:rFonts w:cs="MyriadPro-It"/>
          <w:iCs/>
          <w:lang w:val="en-US"/>
        </w:rPr>
        <w:t>t.</w:t>
      </w:r>
      <w:r w:rsidR="00762848">
        <w:rPr>
          <w:rFonts w:cs="MyriadPro-It"/>
          <w:iCs/>
          <w:lang w:val="en-US"/>
        </w:rPr>
        <w:t xml:space="preserve"> </w:t>
      </w:r>
      <w:r>
        <w:rPr>
          <w:rFonts w:cs="MyriadPro-It"/>
          <w:iCs/>
          <w:lang w:val="en-US"/>
        </w:rPr>
        <w:t>The World Bank.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1D" w:rsidRDefault="00704C1D" w:rsidP="00DA1718">
    <w:pPr>
      <w:pStyle w:val="Encabezado"/>
      <w:jc w:val="right"/>
    </w:pPr>
    <w:r>
      <w:rPr>
        <w:noProof/>
        <w:lang w:val="es-ES" w:eastAsia="es-ES"/>
      </w:rPr>
      <w:drawing>
        <wp:inline distT="0" distB="0" distL="0" distR="0">
          <wp:extent cx="17430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ra183x67h_b.gif"/>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3075" cy="638175"/>
                  </a:xfrm>
                  <a:prstGeom prst="rect">
                    <a:avLst/>
                  </a:prstGeom>
                </pic:spPr>
              </pic:pic>
            </a:graphicData>
          </a:graphic>
        </wp:inline>
      </w:drawing>
    </w:r>
  </w:p>
  <w:p w:rsidR="00704C1D" w:rsidRDefault="00704C1D">
    <w:pPr>
      <w:pStyle w:val="Encabezado"/>
    </w:pPr>
  </w:p>
  <w:p w:rsidR="00704C1D" w:rsidRDefault="00704C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A44"/>
    <w:multiLevelType w:val="hybridMultilevel"/>
    <w:tmpl w:val="FBD025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8D5E80"/>
    <w:multiLevelType w:val="hybridMultilevel"/>
    <w:tmpl w:val="25744A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19714E"/>
    <w:multiLevelType w:val="hybridMultilevel"/>
    <w:tmpl w:val="2A80F2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A22FBB"/>
    <w:multiLevelType w:val="hybridMultilevel"/>
    <w:tmpl w:val="B0ECF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B472C3D"/>
    <w:multiLevelType w:val="hybridMultilevel"/>
    <w:tmpl w:val="D33C3F0A"/>
    <w:lvl w:ilvl="0" w:tplc="BE9034DC">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D016945"/>
    <w:multiLevelType w:val="hybridMultilevel"/>
    <w:tmpl w:val="8668B2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FC62A9D"/>
    <w:multiLevelType w:val="hybridMultilevel"/>
    <w:tmpl w:val="008EA2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285AB2"/>
    <w:multiLevelType w:val="hybridMultilevel"/>
    <w:tmpl w:val="32F070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32162406"/>
    <w:multiLevelType w:val="hybridMultilevel"/>
    <w:tmpl w:val="41B88604"/>
    <w:lvl w:ilvl="0" w:tplc="BE9034DC">
      <w:numFmt w:val="bullet"/>
      <w:lvlText w:val="•"/>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38B28C5"/>
    <w:multiLevelType w:val="hybridMultilevel"/>
    <w:tmpl w:val="87D2F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431725E"/>
    <w:multiLevelType w:val="hybridMultilevel"/>
    <w:tmpl w:val="BB1CD13A"/>
    <w:lvl w:ilvl="0" w:tplc="240A000F">
      <w:start w:val="1"/>
      <w:numFmt w:val="decimal"/>
      <w:lvlText w:val="%1."/>
      <w:lvlJc w:val="left"/>
      <w:pPr>
        <w:ind w:left="644" w:hanging="360"/>
      </w:pPr>
    </w:lvl>
    <w:lvl w:ilvl="1" w:tplc="240A0019">
      <w:start w:val="1"/>
      <w:numFmt w:val="lowerLetter"/>
      <w:lvlText w:val="%2."/>
      <w:lvlJc w:val="left"/>
      <w:pPr>
        <w:ind w:left="1440" w:hanging="360"/>
      </w:pPr>
    </w:lvl>
    <w:lvl w:ilvl="2" w:tplc="240A001B">
      <w:start w:val="1"/>
      <w:numFmt w:val="lowerRoman"/>
      <w:lvlText w:val="%3."/>
      <w:lvlJc w:val="right"/>
      <w:pPr>
        <w:ind w:left="2165"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34502BB3"/>
    <w:multiLevelType w:val="hybridMultilevel"/>
    <w:tmpl w:val="9E661B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E020069"/>
    <w:multiLevelType w:val="hybridMultilevel"/>
    <w:tmpl w:val="E1BC909E"/>
    <w:lvl w:ilvl="0" w:tplc="C368F1A4">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231013B"/>
    <w:multiLevelType w:val="hybridMultilevel"/>
    <w:tmpl w:val="CBFAD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39B4D2A"/>
    <w:multiLevelType w:val="hybridMultilevel"/>
    <w:tmpl w:val="33080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53308A3"/>
    <w:multiLevelType w:val="hybridMultilevel"/>
    <w:tmpl w:val="E6DAD39C"/>
    <w:lvl w:ilvl="0" w:tplc="ACAE42E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nsid w:val="45C67814"/>
    <w:multiLevelType w:val="hybridMultilevel"/>
    <w:tmpl w:val="47F4DC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22311D"/>
    <w:multiLevelType w:val="hybridMultilevel"/>
    <w:tmpl w:val="E842E26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F23F9D"/>
    <w:multiLevelType w:val="hybridMultilevel"/>
    <w:tmpl w:val="EABCB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CF4412"/>
    <w:multiLevelType w:val="hybridMultilevel"/>
    <w:tmpl w:val="6A5A65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9BE2768"/>
    <w:multiLevelType w:val="hybridMultilevel"/>
    <w:tmpl w:val="16F28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00D158E"/>
    <w:multiLevelType w:val="hybridMultilevel"/>
    <w:tmpl w:val="41CEFF6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640C6989"/>
    <w:multiLevelType w:val="multilevel"/>
    <w:tmpl w:val="62CCBC0A"/>
    <w:lvl w:ilvl="0">
      <w:start w:val="1"/>
      <w:numFmt w:val="decimal"/>
      <w:lvlText w:val="%1."/>
      <w:lvlJc w:val="left"/>
      <w:pPr>
        <w:ind w:left="720" w:hanging="360"/>
      </w:pPr>
    </w:lvl>
    <w:lvl w:ilvl="1">
      <w:start w:val="1"/>
      <w:numFmt w:val="decimal"/>
      <w:isLgl/>
      <w:lvlText w:val="%1.%2."/>
      <w:lvlJc w:val="left"/>
      <w:pPr>
        <w:ind w:left="1770" w:hanging="1410"/>
      </w:pPr>
    </w:lvl>
    <w:lvl w:ilvl="2">
      <w:start w:val="4"/>
      <w:numFmt w:val="decimal"/>
      <w:isLgl/>
      <w:lvlText w:val="%1.%2.%3."/>
      <w:lvlJc w:val="left"/>
      <w:pPr>
        <w:ind w:left="1770" w:hanging="1410"/>
      </w:pPr>
    </w:lvl>
    <w:lvl w:ilvl="3">
      <w:start w:val="1"/>
      <w:numFmt w:val="decimal"/>
      <w:isLgl/>
      <w:lvlText w:val="%1.%2.%3.%4."/>
      <w:lvlJc w:val="left"/>
      <w:pPr>
        <w:ind w:left="1770" w:hanging="1410"/>
      </w:pPr>
    </w:lvl>
    <w:lvl w:ilvl="4">
      <w:start w:val="3"/>
      <w:numFmt w:val="decimal"/>
      <w:isLgl/>
      <w:lvlText w:val="%1.%2.%3.%4.%5."/>
      <w:lvlJc w:val="left"/>
      <w:pPr>
        <w:ind w:left="1770" w:hanging="141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nsid w:val="6FF13ECA"/>
    <w:multiLevelType w:val="hybridMultilevel"/>
    <w:tmpl w:val="370E978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nsid w:val="750062E3"/>
    <w:multiLevelType w:val="hybridMultilevel"/>
    <w:tmpl w:val="B55C1A6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76F1510D"/>
    <w:multiLevelType w:val="multilevel"/>
    <w:tmpl w:val="728C0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B96E63"/>
    <w:multiLevelType w:val="hybridMultilevel"/>
    <w:tmpl w:val="09F2D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A3A6333"/>
    <w:multiLevelType w:val="hybridMultilevel"/>
    <w:tmpl w:val="EA6A7DE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nsid w:val="7B0F4D92"/>
    <w:multiLevelType w:val="hybridMultilevel"/>
    <w:tmpl w:val="2782F280"/>
    <w:lvl w:ilvl="0" w:tplc="BE9034DC">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1"/>
  </w:num>
  <w:num w:numId="4">
    <w:abstractNumId w:val="18"/>
  </w:num>
  <w:num w:numId="5">
    <w:abstractNumId w:val="16"/>
  </w:num>
  <w:num w:numId="6">
    <w:abstractNumId w:val="26"/>
  </w:num>
  <w:num w:numId="7">
    <w:abstractNumId w:val="17"/>
  </w:num>
  <w:num w:numId="8">
    <w:abstractNumId w:val="27"/>
  </w:num>
  <w:num w:numId="9">
    <w:abstractNumId w:val="9"/>
  </w:num>
  <w:num w:numId="10">
    <w:abstractNumId w:val="0"/>
  </w:num>
  <w:num w:numId="11">
    <w:abstractNumId w:val="7"/>
  </w:num>
  <w:num w:numId="12">
    <w:abstractNumId w:val="13"/>
  </w:num>
  <w:num w:numId="13">
    <w:abstractNumId w:val="3"/>
  </w:num>
  <w:num w:numId="14">
    <w:abstractNumId w:val="12"/>
  </w:num>
  <w:num w:numId="15">
    <w:abstractNumId w:val="6"/>
  </w:num>
  <w:num w:numId="16">
    <w:abstractNumId w:val="1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0"/>
  </w:num>
  <w:num w:numId="21">
    <w:abstractNumId w:val="14"/>
  </w:num>
  <w:num w:numId="22">
    <w:abstractNumId w:val="8"/>
  </w:num>
  <w:num w:numId="23">
    <w:abstractNumId w:val="22"/>
    <w:lvlOverride w:ilvl="0">
      <w:startOverride w:val="1"/>
    </w:lvlOverride>
    <w:lvlOverride w:ilvl="1">
      <w:startOverride w:val="1"/>
    </w:lvlOverride>
    <w:lvlOverride w:ilvl="2">
      <w:startOverride w:val="4"/>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28"/>
  </w:num>
  <w:num w:numId="27">
    <w:abstractNumId w:val="25"/>
  </w:num>
  <w:num w:numId="28">
    <w:abstractNumId w:val="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20E88"/>
    <w:rsid w:val="00001794"/>
    <w:rsid w:val="00005C07"/>
    <w:rsid w:val="000077D4"/>
    <w:rsid w:val="00021B65"/>
    <w:rsid w:val="00026EC0"/>
    <w:rsid w:val="00055733"/>
    <w:rsid w:val="00082AA5"/>
    <w:rsid w:val="00084040"/>
    <w:rsid w:val="00093D7B"/>
    <w:rsid w:val="00096A02"/>
    <w:rsid w:val="00096B51"/>
    <w:rsid w:val="00097914"/>
    <w:rsid w:val="000A6123"/>
    <w:rsid w:val="000B6450"/>
    <w:rsid w:val="000E2D89"/>
    <w:rsid w:val="0012188E"/>
    <w:rsid w:val="00123145"/>
    <w:rsid w:val="001232E6"/>
    <w:rsid w:val="00131E28"/>
    <w:rsid w:val="001406F0"/>
    <w:rsid w:val="00146B3F"/>
    <w:rsid w:val="00155455"/>
    <w:rsid w:val="001607EF"/>
    <w:rsid w:val="00176C04"/>
    <w:rsid w:val="001819C4"/>
    <w:rsid w:val="0019481B"/>
    <w:rsid w:val="00197D06"/>
    <w:rsid w:val="001A64BB"/>
    <w:rsid w:val="001C16E1"/>
    <w:rsid w:val="001D0504"/>
    <w:rsid w:val="001D372E"/>
    <w:rsid w:val="001E1F5A"/>
    <w:rsid w:val="0024337C"/>
    <w:rsid w:val="00245755"/>
    <w:rsid w:val="00266B03"/>
    <w:rsid w:val="0027027A"/>
    <w:rsid w:val="00272D86"/>
    <w:rsid w:val="00280F23"/>
    <w:rsid w:val="00284A80"/>
    <w:rsid w:val="002A1275"/>
    <w:rsid w:val="002A3023"/>
    <w:rsid w:val="002A6354"/>
    <w:rsid w:val="002A7DF4"/>
    <w:rsid w:val="002C2F8F"/>
    <w:rsid w:val="002C3583"/>
    <w:rsid w:val="002D4A9D"/>
    <w:rsid w:val="002E33C1"/>
    <w:rsid w:val="002F00F7"/>
    <w:rsid w:val="00302291"/>
    <w:rsid w:val="00304CA0"/>
    <w:rsid w:val="003148B5"/>
    <w:rsid w:val="00315011"/>
    <w:rsid w:val="003160D4"/>
    <w:rsid w:val="00331FDB"/>
    <w:rsid w:val="003376D2"/>
    <w:rsid w:val="00345729"/>
    <w:rsid w:val="00362E41"/>
    <w:rsid w:val="00370C17"/>
    <w:rsid w:val="004057C3"/>
    <w:rsid w:val="0042509A"/>
    <w:rsid w:val="0044294F"/>
    <w:rsid w:val="00444627"/>
    <w:rsid w:val="004510A0"/>
    <w:rsid w:val="0045709A"/>
    <w:rsid w:val="00466D58"/>
    <w:rsid w:val="0047046A"/>
    <w:rsid w:val="00482576"/>
    <w:rsid w:val="00496980"/>
    <w:rsid w:val="0049757C"/>
    <w:rsid w:val="004A3DEF"/>
    <w:rsid w:val="004B0CF3"/>
    <w:rsid w:val="004E1602"/>
    <w:rsid w:val="004F7EF7"/>
    <w:rsid w:val="0050280A"/>
    <w:rsid w:val="005263FA"/>
    <w:rsid w:val="00545C9C"/>
    <w:rsid w:val="00576EE5"/>
    <w:rsid w:val="005838CB"/>
    <w:rsid w:val="00587F25"/>
    <w:rsid w:val="00592F85"/>
    <w:rsid w:val="005A1CDD"/>
    <w:rsid w:val="005B4CE3"/>
    <w:rsid w:val="005D1428"/>
    <w:rsid w:val="005E3C6F"/>
    <w:rsid w:val="005F3849"/>
    <w:rsid w:val="005F7F35"/>
    <w:rsid w:val="00600B1A"/>
    <w:rsid w:val="006071BA"/>
    <w:rsid w:val="006115B3"/>
    <w:rsid w:val="00617239"/>
    <w:rsid w:val="00624016"/>
    <w:rsid w:val="00632798"/>
    <w:rsid w:val="00642AD0"/>
    <w:rsid w:val="006465EA"/>
    <w:rsid w:val="00647DCB"/>
    <w:rsid w:val="0065454C"/>
    <w:rsid w:val="00657349"/>
    <w:rsid w:val="0066013E"/>
    <w:rsid w:val="00664E63"/>
    <w:rsid w:val="00686DF9"/>
    <w:rsid w:val="006921AC"/>
    <w:rsid w:val="00694B6E"/>
    <w:rsid w:val="00695D5C"/>
    <w:rsid w:val="00695EC7"/>
    <w:rsid w:val="006A19A4"/>
    <w:rsid w:val="006A6359"/>
    <w:rsid w:val="006B1A15"/>
    <w:rsid w:val="006D636A"/>
    <w:rsid w:val="006E52F5"/>
    <w:rsid w:val="006E7405"/>
    <w:rsid w:val="006F0E9A"/>
    <w:rsid w:val="007025FD"/>
    <w:rsid w:val="00702B11"/>
    <w:rsid w:val="00704C1D"/>
    <w:rsid w:val="00706943"/>
    <w:rsid w:val="0071290E"/>
    <w:rsid w:val="00722B97"/>
    <w:rsid w:val="007231E6"/>
    <w:rsid w:val="00724BA7"/>
    <w:rsid w:val="007340A4"/>
    <w:rsid w:val="00743919"/>
    <w:rsid w:val="0075355E"/>
    <w:rsid w:val="00757CD5"/>
    <w:rsid w:val="00757E20"/>
    <w:rsid w:val="00761DBB"/>
    <w:rsid w:val="00762848"/>
    <w:rsid w:val="00765254"/>
    <w:rsid w:val="00774D42"/>
    <w:rsid w:val="00777D78"/>
    <w:rsid w:val="007A5397"/>
    <w:rsid w:val="007A5976"/>
    <w:rsid w:val="007B0A51"/>
    <w:rsid w:val="007B0AB5"/>
    <w:rsid w:val="007C1837"/>
    <w:rsid w:val="008020B2"/>
    <w:rsid w:val="0080503B"/>
    <w:rsid w:val="00805E9D"/>
    <w:rsid w:val="00817CAA"/>
    <w:rsid w:val="00843059"/>
    <w:rsid w:val="008461F7"/>
    <w:rsid w:val="0085589B"/>
    <w:rsid w:val="00860CCC"/>
    <w:rsid w:val="0087085E"/>
    <w:rsid w:val="008734F5"/>
    <w:rsid w:val="00880905"/>
    <w:rsid w:val="008B5ACC"/>
    <w:rsid w:val="008C5BE3"/>
    <w:rsid w:val="008D22E2"/>
    <w:rsid w:val="008D47CE"/>
    <w:rsid w:val="008E5004"/>
    <w:rsid w:val="008E5791"/>
    <w:rsid w:val="008E6F6E"/>
    <w:rsid w:val="00907F74"/>
    <w:rsid w:val="009161F4"/>
    <w:rsid w:val="00922FC9"/>
    <w:rsid w:val="009502EA"/>
    <w:rsid w:val="00961DDE"/>
    <w:rsid w:val="00966123"/>
    <w:rsid w:val="009678F5"/>
    <w:rsid w:val="00971132"/>
    <w:rsid w:val="009871EF"/>
    <w:rsid w:val="009A07A0"/>
    <w:rsid w:val="009D1BDD"/>
    <w:rsid w:val="009D77A4"/>
    <w:rsid w:val="009E1939"/>
    <w:rsid w:val="009E3E5B"/>
    <w:rsid w:val="00A402A2"/>
    <w:rsid w:val="00A439D7"/>
    <w:rsid w:val="00A600B0"/>
    <w:rsid w:val="00A63886"/>
    <w:rsid w:val="00A641D3"/>
    <w:rsid w:val="00A664D4"/>
    <w:rsid w:val="00A717F1"/>
    <w:rsid w:val="00A8397F"/>
    <w:rsid w:val="00A91560"/>
    <w:rsid w:val="00AA0652"/>
    <w:rsid w:val="00AA3714"/>
    <w:rsid w:val="00AD3483"/>
    <w:rsid w:val="00AE0106"/>
    <w:rsid w:val="00AF0905"/>
    <w:rsid w:val="00B02006"/>
    <w:rsid w:val="00B17D3A"/>
    <w:rsid w:val="00B27840"/>
    <w:rsid w:val="00B364B6"/>
    <w:rsid w:val="00B36B41"/>
    <w:rsid w:val="00B44C66"/>
    <w:rsid w:val="00B50DA4"/>
    <w:rsid w:val="00B56B01"/>
    <w:rsid w:val="00B61119"/>
    <w:rsid w:val="00B61DA3"/>
    <w:rsid w:val="00B6539E"/>
    <w:rsid w:val="00B70C37"/>
    <w:rsid w:val="00B7136F"/>
    <w:rsid w:val="00B84F4C"/>
    <w:rsid w:val="00B8772D"/>
    <w:rsid w:val="00BA2216"/>
    <w:rsid w:val="00BC2A18"/>
    <w:rsid w:val="00BD1341"/>
    <w:rsid w:val="00BD19EC"/>
    <w:rsid w:val="00BF4E01"/>
    <w:rsid w:val="00C01722"/>
    <w:rsid w:val="00C27724"/>
    <w:rsid w:val="00C40563"/>
    <w:rsid w:val="00C42C4D"/>
    <w:rsid w:val="00C47E5D"/>
    <w:rsid w:val="00C53581"/>
    <w:rsid w:val="00C768FB"/>
    <w:rsid w:val="00C8378F"/>
    <w:rsid w:val="00C87BF6"/>
    <w:rsid w:val="00C95A65"/>
    <w:rsid w:val="00CA69F9"/>
    <w:rsid w:val="00CB59F9"/>
    <w:rsid w:val="00CC0364"/>
    <w:rsid w:val="00CD01E2"/>
    <w:rsid w:val="00CE0296"/>
    <w:rsid w:val="00CE091A"/>
    <w:rsid w:val="00CE7D94"/>
    <w:rsid w:val="00D12D46"/>
    <w:rsid w:val="00D16F24"/>
    <w:rsid w:val="00D206D7"/>
    <w:rsid w:val="00D20E88"/>
    <w:rsid w:val="00D400AE"/>
    <w:rsid w:val="00D41323"/>
    <w:rsid w:val="00D42E24"/>
    <w:rsid w:val="00D84A91"/>
    <w:rsid w:val="00D86C14"/>
    <w:rsid w:val="00D874BC"/>
    <w:rsid w:val="00D96D32"/>
    <w:rsid w:val="00DA1718"/>
    <w:rsid w:val="00DA23D7"/>
    <w:rsid w:val="00DA7A3C"/>
    <w:rsid w:val="00DB0555"/>
    <w:rsid w:val="00DB0B6B"/>
    <w:rsid w:val="00DB1D7D"/>
    <w:rsid w:val="00DB5A71"/>
    <w:rsid w:val="00DD5963"/>
    <w:rsid w:val="00DF10AD"/>
    <w:rsid w:val="00DF36F9"/>
    <w:rsid w:val="00DF78AA"/>
    <w:rsid w:val="00E01200"/>
    <w:rsid w:val="00E075B6"/>
    <w:rsid w:val="00E2676E"/>
    <w:rsid w:val="00E35A7D"/>
    <w:rsid w:val="00E6051E"/>
    <w:rsid w:val="00E709AE"/>
    <w:rsid w:val="00E71F9F"/>
    <w:rsid w:val="00E777CA"/>
    <w:rsid w:val="00E90F73"/>
    <w:rsid w:val="00E93F66"/>
    <w:rsid w:val="00E94099"/>
    <w:rsid w:val="00EA2D05"/>
    <w:rsid w:val="00EA531C"/>
    <w:rsid w:val="00EA71B8"/>
    <w:rsid w:val="00EA7AB9"/>
    <w:rsid w:val="00EB1A1E"/>
    <w:rsid w:val="00EB6481"/>
    <w:rsid w:val="00EC2B32"/>
    <w:rsid w:val="00EC5477"/>
    <w:rsid w:val="00ED470F"/>
    <w:rsid w:val="00EE1DEF"/>
    <w:rsid w:val="00EF1AAC"/>
    <w:rsid w:val="00EF69D1"/>
    <w:rsid w:val="00F01376"/>
    <w:rsid w:val="00F016BA"/>
    <w:rsid w:val="00F10B98"/>
    <w:rsid w:val="00F1474A"/>
    <w:rsid w:val="00F27574"/>
    <w:rsid w:val="00F33E8B"/>
    <w:rsid w:val="00F431B0"/>
    <w:rsid w:val="00F44B5C"/>
    <w:rsid w:val="00F50CF9"/>
    <w:rsid w:val="00F54696"/>
    <w:rsid w:val="00F71093"/>
    <w:rsid w:val="00F71E13"/>
    <w:rsid w:val="00F736E5"/>
    <w:rsid w:val="00F75317"/>
    <w:rsid w:val="00F82972"/>
    <w:rsid w:val="00F91AE7"/>
    <w:rsid w:val="00F93DA1"/>
    <w:rsid w:val="00F94635"/>
    <w:rsid w:val="00FA03B8"/>
    <w:rsid w:val="00FD62F2"/>
    <w:rsid w:val="00FF5C82"/>
    <w:rsid w:val="00FF74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55E"/>
  </w:style>
  <w:style w:type="paragraph" w:styleId="Ttulo1">
    <w:name w:val="heading 1"/>
    <w:basedOn w:val="Normal"/>
    <w:next w:val="Normal"/>
    <w:link w:val="Ttulo1Car"/>
    <w:uiPriority w:val="9"/>
    <w:qFormat/>
    <w:rsid w:val="00D206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206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76E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20E88"/>
    <w:pPr>
      <w:ind w:left="720"/>
      <w:contextualSpacing/>
    </w:pPr>
  </w:style>
  <w:style w:type="character" w:styleId="Hipervnculo">
    <w:name w:val="Hyperlink"/>
    <w:basedOn w:val="Fuentedeprrafopredeter"/>
    <w:uiPriority w:val="99"/>
    <w:unhideWhenUsed/>
    <w:rsid w:val="00BF4E01"/>
    <w:rPr>
      <w:color w:val="0000FF" w:themeColor="hyperlink"/>
      <w:u w:val="single"/>
    </w:rPr>
  </w:style>
  <w:style w:type="paragraph" w:styleId="Textonotapie">
    <w:name w:val="footnote text"/>
    <w:basedOn w:val="Normal"/>
    <w:link w:val="TextonotapieCar"/>
    <w:uiPriority w:val="99"/>
    <w:semiHidden/>
    <w:unhideWhenUsed/>
    <w:rsid w:val="00C42C4D"/>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C42C4D"/>
    <w:rPr>
      <w:rFonts w:ascii="Calibri" w:eastAsia="Calibri" w:hAnsi="Calibri" w:cs="Times New Roman"/>
      <w:sz w:val="20"/>
      <w:szCs w:val="20"/>
      <w:lang w:val="es-ES"/>
    </w:rPr>
  </w:style>
  <w:style w:type="character" w:customStyle="1" w:styleId="Ttulo1Car">
    <w:name w:val="Título 1 Car"/>
    <w:basedOn w:val="Fuentedeprrafopredeter"/>
    <w:link w:val="Ttulo1"/>
    <w:uiPriority w:val="9"/>
    <w:rsid w:val="00D206D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206D7"/>
    <w:rPr>
      <w:rFonts w:asciiTheme="majorHAnsi" w:eastAsiaTheme="majorEastAsia" w:hAnsiTheme="majorHAnsi" w:cstheme="majorBidi"/>
      <w:b/>
      <w:bCs/>
      <w:color w:val="4F81BD" w:themeColor="accent1"/>
      <w:sz w:val="26"/>
      <w:szCs w:val="26"/>
    </w:rPr>
  </w:style>
  <w:style w:type="character" w:styleId="Refdenotaalpie">
    <w:name w:val="footnote reference"/>
    <w:basedOn w:val="Fuentedeprrafopredeter"/>
    <w:uiPriority w:val="99"/>
    <w:semiHidden/>
    <w:unhideWhenUsed/>
    <w:rsid w:val="004F7EF7"/>
    <w:rPr>
      <w:vertAlign w:val="superscript"/>
    </w:rPr>
  </w:style>
  <w:style w:type="character" w:customStyle="1" w:styleId="Ttulo3Car">
    <w:name w:val="Título 3 Car"/>
    <w:basedOn w:val="Fuentedeprrafopredeter"/>
    <w:link w:val="Ttulo3"/>
    <w:uiPriority w:val="9"/>
    <w:rsid w:val="00576EE5"/>
    <w:rPr>
      <w:rFonts w:asciiTheme="majorHAnsi" w:eastAsiaTheme="majorEastAsia" w:hAnsiTheme="majorHAnsi" w:cstheme="majorBidi"/>
      <w:b/>
      <w:bCs/>
      <w:color w:val="4F81BD" w:themeColor="accent1"/>
    </w:rPr>
  </w:style>
  <w:style w:type="paragraph" w:styleId="TtulodeTDC">
    <w:name w:val="TOC Heading"/>
    <w:basedOn w:val="Ttulo1"/>
    <w:next w:val="Normal"/>
    <w:uiPriority w:val="39"/>
    <w:semiHidden/>
    <w:unhideWhenUsed/>
    <w:qFormat/>
    <w:rsid w:val="00155455"/>
    <w:pPr>
      <w:outlineLvl w:val="9"/>
    </w:pPr>
    <w:rPr>
      <w:lang w:val="es-ES"/>
    </w:rPr>
  </w:style>
  <w:style w:type="paragraph" w:styleId="TDC1">
    <w:name w:val="toc 1"/>
    <w:basedOn w:val="Normal"/>
    <w:next w:val="Normal"/>
    <w:autoRedefine/>
    <w:uiPriority w:val="39"/>
    <w:unhideWhenUsed/>
    <w:rsid w:val="00155455"/>
    <w:pPr>
      <w:spacing w:after="100"/>
    </w:pPr>
  </w:style>
  <w:style w:type="paragraph" w:styleId="TDC2">
    <w:name w:val="toc 2"/>
    <w:basedOn w:val="Normal"/>
    <w:next w:val="Normal"/>
    <w:autoRedefine/>
    <w:uiPriority w:val="39"/>
    <w:unhideWhenUsed/>
    <w:rsid w:val="00155455"/>
    <w:pPr>
      <w:spacing w:after="100"/>
      <w:ind w:left="220"/>
    </w:pPr>
  </w:style>
  <w:style w:type="paragraph" w:styleId="TDC3">
    <w:name w:val="toc 3"/>
    <w:basedOn w:val="Normal"/>
    <w:next w:val="Normal"/>
    <w:autoRedefine/>
    <w:uiPriority w:val="39"/>
    <w:unhideWhenUsed/>
    <w:rsid w:val="00155455"/>
    <w:pPr>
      <w:spacing w:after="100"/>
      <w:ind w:left="440"/>
    </w:pPr>
  </w:style>
  <w:style w:type="paragraph" w:styleId="Textodeglobo">
    <w:name w:val="Balloon Text"/>
    <w:basedOn w:val="Normal"/>
    <w:link w:val="TextodegloboCar"/>
    <w:uiPriority w:val="99"/>
    <w:semiHidden/>
    <w:unhideWhenUsed/>
    <w:rsid w:val="001554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5455"/>
    <w:rPr>
      <w:rFonts w:ascii="Tahoma" w:hAnsi="Tahoma" w:cs="Tahoma"/>
      <w:sz w:val="16"/>
      <w:szCs w:val="16"/>
    </w:rPr>
  </w:style>
  <w:style w:type="character" w:styleId="Hipervnculovisitado">
    <w:name w:val="FollowedHyperlink"/>
    <w:basedOn w:val="Fuentedeprrafopredeter"/>
    <w:uiPriority w:val="99"/>
    <w:semiHidden/>
    <w:unhideWhenUsed/>
    <w:rsid w:val="00BC2A18"/>
    <w:rPr>
      <w:color w:val="800080" w:themeColor="followedHyperlink"/>
      <w:u w:val="single"/>
    </w:rPr>
  </w:style>
  <w:style w:type="paragraph" w:styleId="Epgrafe">
    <w:name w:val="caption"/>
    <w:basedOn w:val="Normal"/>
    <w:next w:val="Normal"/>
    <w:uiPriority w:val="35"/>
    <w:unhideWhenUsed/>
    <w:qFormat/>
    <w:rsid w:val="005A1CDD"/>
    <w:pPr>
      <w:spacing w:line="240" w:lineRule="auto"/>
    </w:pPr>
    <w:rPr>
      <w:b/>
      <w:bCs/>
      <w:color w:val="4F81BD" w:themeColor="accent1"/>
      <w:sz w:val="18"/>
      <w:szCs w:val="18"/>
    </w:rPr>
  </w:style>
  <w:style w:type="paragraph" w:styleId="Mapadeldocumento">
    <w:name w:val="Document Map"/>
    <w:basedOn w:val="Normal"/>
    <w:link w:val="MapadeldocumentoCar"/>
    <w:uiPriority w:val="99"/>
    <w:semiHidden/>
    <w:unhideWhenUsed/>
    <w:rsid w:val="005A1CD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A1CDD"/>
    <w:rPr>
      <w:rFonts w:ascii="Tahoma" w:hAnsi="Tahoma" w:cs="Tahoma"/>
      <w:sz w:val="16"/>
      <w:szCs w:val="16"/>
    </w:rPr>
  </w:style>
  <w:style w:type="paragraph" w:styleId="Encabezado">
    <w:name w:val="header"/>
    <w:basedOn w:val="Normal"/>
    <w:link w:val="EncabezadoCar"/>
    <w:uiPriority w:val="99"/>
    <w:unhideWhenUsed/>
    <w:rsid w:val="00EA71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1B8"/>
  </w:style>
  <w:style w:type="paragraph" w:styleId="Piedepgina">
    <w:name w:val="footer"/>
    <w:basedOn w:val="Normal"/>
    <w:link w:val="PiedepginaCar"/>
    <w:uiPriority w:val="99"/>
    <w:unhideWhenUsed/>
    <w:rsid w:val="00EA71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1B8"/>
  </w:style>
  <w:style w:type="paragraph" w:styleId="Sinespaciado">
    <w:name w:val="No Spacing"/>
    <w:uiPriority w:val="1"/>
    <w:qFormat/>
    <w:rsid w:val="00724BA7"/>
    <w:pPr>
      <w:spacing w:after="0" w:line="240" w:lineRule="auto"/>
    </w:pPr>
  </w:style>
  <w:style w:type="character" w:styleId="Refdecomentario">
    <w:name w:val="annotation reference"/>
    <w:basedOn w:val="Fuentedeprrafopredeter"/>
    <w:uiPriority w:val="99"/>
    <w:semiHidden/>
    <w:unhideWhenUsed/>
    <w:rsid w:val="005F7F35"/>
    <w:rPr>
      <w:sz w:val="16"/>
      <w:szCs w:val="16"/>
    </w:rPr>
  </w:style>
  <w:style w:type="paragraph" w:styleId="Textocomentario">
    <w:name w:val="annotation text"/>
    <w:basedOn w:val="Normal"/>
    <w:link w:val="TextocomentarioCar"/>
    <w:uiPriority w:val="99"/>
    <w:semiHidden/>
    <w:unhideWhenUsed/>
    <w:rsid w:val="005F7F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7F35"/>
    <w:rPr>
      <w:sz w:val="20"/>
      <w:szCs w:val="20"/>
    </w:rPr>
  </w:style>
  <w:style w:type="paragraph" w:styleId="Asuntodelcomentario">
    <w:name w:val="annotation subject"/>
    <w:basedOn w:val="Textocomentario"/>
    <w:next w:val="Textocomentario"/>
    <w:link w:val="AsuntodelcomentarioCar"/>
    <w:uiPriority w:val="99"/>
    <w:semiHidden/>
    <w:unhideWhenUsed/>
    <w:rsid w:val="005F7F35"/>
    <w:rPr>
      <w:b/>
      <w:bCs/>
    </w:rPr>
  </w:style>
  <w:style w:type="character" w:customStyle="1" w:styleId="AsuntodelcomentarioCar">
    <w:name w:val="Asunto del comentario Car"/>
    <w:basedOn w:val="TextocomentarioCar"/>
    <w:link w:val="Asuntodelcomentario"/>
    <w:uiPriority w:val="99"/>
    <w:semiHidden/>
    <w:rsid w:val="005F7F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988141">
      <w:bodyDiv w:val="1"/>
      <w:marLeft w:val="0"/>
      <w:marRight w:val="0"/>
      <w:marTop w:val="0"/>
      <w:marBottom w:val="0"/>
      <w:divBdr>
        <w:top w:val="none" w:sz="0" w:space="0" w:color="auto"/>
        <w:left w:val="none" w:sz="0" w:space="0" w:color="auto"/>
        <w:bottom w:val="none" w:sz="0" w:space="0" w:color="auto"/>
        <w:right w:val="none" w:sz="0" w:space="0" w:color="auto"/>
      </w:divBdr>
    </w:div>
    <w:div w:id="614212716">
      <w:bodyDiv w:val="1"/>
      <w:marLeft w:val="0"/>
      <w:marRight w:val="0"/>
      <w:marTop w:val="0"/>
      <w:marBottom w:val="0"/>
      <w:divBdr>
        <w:top w:val="none" w:sz="0" w:space="0" w:color="auto"/>
        <w:left w:val="none" w:sz="0" w:space="0" w:color="auto"/>
        <w:bottom w:val="none" w:sz="0" w:space="0" w:color="auto"/>
        <w:right w:val="none" w:sz="0" w:space="0" w:color="auto"/>
      </w:divBdr>
    </w:div>
    <w:div w:id="667176160">
      <w:bodyDiv w:val="1"/>
      <w:marLeft w:val="0"/>
      <w:marRight w:val="0"/>
      <w:marTop w:val="0"/>
      <w:marBottom w:val="0"/>
      <w:divBdr>
        <w:top w:val="none" w:sz="0" w:space="0" w:color="auto"/>
        <w:left w:val="none" w:sz="0" w:space="0" w:color="auto"/>
        <w:bottom w:val="none" w:sz="0" w:space="0" w:color="auto"/>
        <w:right w:val="none" w:sz="0" w:space="0" w:color="auto"/>
      </w:divBdr>
    </w:div>
    <w:div w:id="960569609">
      <w:bodyDiv w:val="1"/>
      <w:marLeft w:val="0"/>
      <w:marRight w:val="0"/>
      <w:marTop w:val="0"/>
      <w:marBottom w:val="0"/>
      <w:divBdr>
        <w:top w:val="none" w:sz="0" w:space="0" w:color="auto"/>
        <w:left w:val="none" w:sz="0" w:space="0" w:color="auto"/>
        <w:bottom w:val="none" w:sz="0" w:space="0" w:color="auto"/>
        <w:right w:val="none" w:sz="0" w:space="0" w:color="auto"/>
      </w:divBdr>
    </w:div>
    <w:div w:id="10116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cconta.gov.co/consejot/documen/resolucion001_reglamento_ctcp.pdf" TargetMode="External"/><Relationship Id="rId18" Type="http://schemas.openxmlformats.org/officeDocument/2006/relationships/diagramData" Target="diagrams/data2.xml"/><Relationship Id="rId26" Type="http://schemas.openxmlformats.org/officeDocument/2006/relationships/hyperlink" Target="http://www.iadb.org/intal/aplicaciones/uploads/publicaciones/i_INTAL_AUSPUB_2010_Musalem.pdf" TargetMode="External"/><Relationship Id="rId39" Type="http://schemas.openxmlformats.org/officeDocument/2006/relationships/hyperlink" Target="http://www.pwc.com/en_US/us/issues/ifrs-reporting/assets/ifrs_country_adoption.pdf" TargetMode="External"/><Relationship Id="rId21" Type="http://schemas.openxmlformats.org/officeDocument/2006/relationships/diagramColors" Target="diagrams/colors2.xml"/><Relationship Id="rId34" Type="http://schemas.openxmlformats.org/officeDocument/2006/relationships/hyperlink" Target="http://idbdocs.iadb.org/wsdocs/getdocument.aspx?docnum=429034" TargetMode="External"/><Relationship Id="rId42" Type="http://schemas.openxmlformats.org/officeDocument/2006/relationships/hyperlink" Target="http://papers.ssrn.com/sol3/papers.cfm?abstract_id=688041" TargetMode="External"/><Relationship Id="rId47" Type="http://schemas.openxmlformats.org/officeDocument/2006/relationships/hyperlink" Target="http://unctad.org/en/docs/diaeed20081_en.pdf" TargetMode="External"/><Relationship Id="rId50" Type="http://schemas.openxmlformats.org/officeDocument/2006/relationships/hyperlink" Target="http://idbdocs.iadb.org/wsdocs/getdocument.aspx?docnum=860351" TargetMode="External"/><Relationship Id="rId55" Type="http://schemas.openxmlformats.org/officeDocument/2006/relationships/hyperlink" Target="http://www.iasplus.com/resource/2005ijaap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hyperlink" Target="http://idbdocs.iadb.org/wsdocs/getdocument.aspx?docnum=832975" TargetMode="External"/><Relationship Id="rId41" Type="http://schemas.openxmlformats.org/officeDocument/2006/relationships/hyperlink" Target="http://www.iasplus.com/resource/0607canadaifrsplan.pdf" TargetMode="External"/><Relationship Id="rId54" Type="http://schemas.openxmlformats.org/officeDocument/2006/relationships/hyperlink" Target="http://ocaq.qc.ca/pdf/ang/6_presse/infoca/2007/InfoCA1185_Guide_EN.pdf" TargetMode="External"/><Relationship Id="rId62"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olmenares@mincomercio.gov.co" TargetMode="External"/><Relationship Id="rId24" Type="http://schemas.openxmlformats.org/officeDocument/2006/relationships/hyperlink" Target="http://www.aasbcanada.ca/reference-material-for-practitioners/legal-commentaries/item35499.pdf" TargetMode="External"/><Relationship Id="rId32" Type="http://schemas.openxmlformats.org/officeDocument/2006/relationships/hyperlink" Target="http://idbdocs.iadb.org/wsdocs/getdocument.aspx?docnum=1668681" TargetMode="External"/><Relationship Id="rId37" Type="http://schemas.openxmlformats.org/officeDocument/2006/relationships/hyperlink" Target="http://www.unctad.org/sp/docs/ciiisard52_sp.pdf" TargetMode="External"/><Relationship Id="rId40" Type="http://schemas.openxmlformats.org/officeDocument/2006/relationships/hyperlink" Target="http://www.worldbank.org/ifa/LessonsLearned_ROSC_AA.pdf" TargetMode="External"/><Relationship Id="rId45" Type="http://schemas.openxmlformats.org/officeDocument/2006/relationships/hyperlink" Target="http://papers.ssrn.com/sol3/papers.cfm?abstract_id=1024240" TargetMode="External"/><Relationship Id="rId53" Type="http://schemas.openxmlformats.org/officeDocument/2006/relationships/hyperlink" Target="http://www.sec.gov/rules/proposed/2008/33-8982.pdf"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elcontador.org.hn/uploads/media/ACUERDOS__IMPLEMENTACION__DE__NIIF_s__y__NIA_s.pdf" TargetMode="External"/><Relationship Id="rId28" Type="http://schemas.openxmlformats.org/officeDocument/2006/relationships/hyperlink" Target="http://www.unctad.org/sp/docs/diaeed20092_sp.pdf" TargetMode="External"/><Relationship Id="rId36" Type="http://schemas.openxmlformats.org/officeDocument/2006/relationships/hyperlink" Target="http://idbdocs.iadb.org/wsdocs/getdocument.aspx?docnum=1668982" TargetMode="External"/><Relationship Id="rId49" Type="http://schemas.openxmlformats.org/officeDocument/2006/relationships/hyperlink" Target="http://www.cnv.gov.ar/proyectoenconsulta/proyectofacpce/planadopcionniif.doc" TargetMode="External"/><Relationship Id="rId57" Type="http://schemas.openxmlformats.org/officeDocument/2006/relationships/header" Target="header1.xml"/><Relationship Id="rId61" Type="http://schemas.microsoft.com/office/2007/relationships/diagramDrawing" Target="diagrams/drawing1.xml"/><Relationship Id="rId10" Type="http://schemas.openxmlformats.org/officeDocument/2006/relationships/hyperlink" Target="mailto:gsuarez@mincomercio.gov.co" TargetMode="External"/><Relationship Id="rId19" Type="http://schemas.openxmlformats.org/officeDocument/2006/relationships/diagramLayout" Target="diagrams/layout2.xml"/><Relationship Id="rId31" Type="http://schemas.openxmlformats.org/officeDocument/2006/relationships/hyperlink" Target="http://idbdocs.iadb.org/wsdocs/getdocument.aspx?docnum=1667752" TargetMode="External"/><Relationship Id="rId44" Type="http://schemas.openxmlformats.org/officeDocument/2006/relationships/hyperlink" Target="http://dialnet.unirioja.es/servlet/fichero_articulo?codigo=1069383&amp;orden=62429" TargetMode="External"/><Relationship Id="rId52" Type="http://schemas.openxmlformats.org/officeDocument/2006/relationships/hyperlink" Target="http://www.facpce.org.ar/usuarios/file/2009/Normas%20Tecnicas/RT%2026%20Aprobada%20por%20Junta%20Gobierno(2).pdf"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serrano@mincomercio.gov.co" TargetMode="External"/><Relationship Id="rId14" Type="http://schemas.openxmlformats.org/officeDocument/2006/relationships/diagramData" Target="diagrams/data1.xml"/><Relationship Id="rId22" Type="http://schemas.openxmlformats.org/officeDocument/2006/relationships/hyperlink" Target="http://www-wds.worldbank.org/external/default/WDSContentServer/WDSP/IB/2010/01/04/000333037_20100104234901/Rendered/PDF/524570PUB0acco101Official0Use0Only1.pdf" TargetMode="External"/><Relationship Id="rId27" Type="http://schemas.openxmlformats.org/officeDocument/2006/relationships/hyperlink" Target="http://www.supercias.gov.ec/Documentacion/NIIF/CRONOGRAMA%20DE%20IMPLEMENTACION%20NIFF%20-%20ECUADOR.pdf" TargetMode="External"/><Relationship Id="rId30" Type="http://schemas.openxmlformats.org/officeDocument/2006/relationships/hyperlink" Target="http://idbdocs.iadb.org/wsdocs/getdocument.aspx?docnum=430487" TargetMode="External"/><Relationship Id="rId35" Type="http://schemas.openxmlformats.org/officeDocument/2006/relationships/hyperlink" Target="http://idbdocs.iadb.org/wsdocs/getdocument.aspx?docnum=1668758" TargetMode="External"/><Relationship Id="rId43" Type="http://schemas.openxmlformats.org/officeDocument/2006/relationships/hyperlink" Target="http://idbdocs.iadb.org/wsdocs/getdocument.aspx?docnum=920690" TargetMode="External"/><Relationship Id="rId48" Type="http://schemas.openxmlformats.org/officeDocument/2006/relationships/hyperlink" Target="http://idbdocs.iadb.org/wsdocs/getdocument.aspx?docnum=1803248" TargetMode="External"/><Relationship Id="rId56" Type="http://schemas.openxmlformats.org/officeDocument/2006/relationships/hyperlink" Target="http://www.sec.gov/spotlight/globalaccountingstandards/globalaccountingstandards.pdf" TargetMode="External"/><Relationship Id="rId64" Type="http://schemas.microsoft.com/office/2007/relationships/stylesWithEffects" Target="stylesWithEffects.xml"/><Relationship Id="rId8" Type="http://schemas.openxmlformats.org/officeDocument/2006/relationships/hyperlink" Target="mailto:egarciap@mincomercio.gov.co" TargetMode="External"/><Relationship Id="rId51" Type="http://schemas.openxmlformats.org/officeDocument/2006/relationships/hyperlink" Target="http://www.iasplus.com/americas/0909argentinadraft.pdf" TargetMode="External"/><Relationship Id="rId3" Type="http://schemas.openxmlformats.org/officeDocument/2006/relationships/styles" Target="styles.xml"/><Relationship Id="rId12" Type="http://schemas.openxmlformats.org/officeDocument/2006/relationships/hyperlink" Target="mailto:pmartinez@mincomercio.gov.co" TargetMode="External"/><Relationship Id="rId17" Type="http://schemas.openxmlformats.org/officeDocument/2006/relationships/diagramColors" Target="diagrams/colors1.xml"/><Relationship Id="rId25" Type="http://schemas.openxmlformats.org/officeDocument/2006/relationships/hyperlink" Target="http://chilecont.cl/pdf/Boletin%20Tecnico%2079%20(Version%20Definitiva).pdf" TargetMode="External"/><Relationship Id="rId33" Type="http://schemas.openxmlformats.org/officeDocument/2006/relationships/hyperlink" Target="http://idbdocs.iadb.org/wsdocs/getdocument.aspx?docnum=1668723" TargetMode="External"/><Relationship Id="rId38" Type="http://schemas.openxmlformats.org/officeDocument/2006/relationships/hyperlink" Target="http://www.fccpv.org/htdocs/downloads/plandeadopcion_nic.pdf" TargetMode="External"/><Relationship Id="rId46" Type="http://schemas.openxmlformats.org/officeDocument/2006/relationships/hyperlink" Target="http://www.javeriana.edu.co/personales/hbermude/Novitas249/FileNovitas249/NIFFparaPYMES.pdf" TargetMode="External"/><Relationship Id="rId5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frag.org/homepage.asp" TargetMode="External"/><Relationship Id="rId13" Type="http://schemas.openxmlformats.org/officeDocument/2006/relationships/hyperlink" Target="http://www-wds.worldbank.org/external/default/WDSContentServer/WDSP/IB/2010/01/04/000333037_20100104234901/Rendered/PDF/524570PUB0acco101Official0Use0Only1.pdf" TargetMode="External"/><Relationship Id="rId3" Type="http://schemas.openxmlformats.org/officeDocument/2006/relationships/hyperlink" Target="http://www.javeriana.edu.co/personales/hbermude/leycontable/contadores/2009-ley-1314.pdf" TargetMode="External"/><Relationship Id="rId7" Type="http://schemas.openxmlformats.org/officeDocument/2006/relationships/hyperlink" Target="http://www.dnp.gov.co/PortalWeb/LinkClick.aspx?fileticket=hbirGtyhEgM=&amp;tabid=1063" TargetMode="External"/><Relationship Id="rId12" Type="http://schemas.openxmlformats.org/officeDocument/2006/relationships/hyperlink" Target="http://www.worldbank.org/ifa/LessonsLearned_ROSC_AA.pdf" TargetMode="External"/><Relationship Id="rId2" Type="http://schemas.openxmlformats.org/officeDocument/2006/relationships/hyperlink" Target="http://www.mincomercio.gov.co/eContent/documentos/Regulacion/2010/PlanTrabajoCTCP.pdf" TargetMode="External"/><Relationship Id="rId16" Type="http://schemas.openxmlformats.org/officeDocument/2006/relationships/hyperlink" Target="http://www.iasplus.com/resource/0607canadaifrsplan.pdf" TargetMode="External"/><Relationship Id="rId1" Type="http://schemas.openxmlformats.org/officeDocument/2006/relationships/hyperlink" Target="http://www.mincomercio.gov.co/eContent/newsdetail.asp?id=8229&amp;IdCompany=1" TargetMode="External"/><Relationship Id="rId6" Type="http://schemas.openxmlformats.org/officeDocument/2006/relationships/hyperlink" Target="http://www-wds.worldbank.org/external/default/WDSContentServer/WDSP/IB/2010/01/04/000333037_20100104234901/Rendered/PDF/524570PUB0acco101Official0Use0Only1.pdf" TargetMode="External"/><Relationship Id="rId11" Type="http://schemas.openxmlformats.org/officeDocument/2006/relationships/hyperlink" Target="http://www.unctad.org/sp/docs/c2isard9&amp;c1.sp.pdf" TargetMode="External"/><Relationship Id="rId5" Type="http://schemas.openxmlformats.org/officeDocument/2006/relationships/hyperlink" Target="https://www.javeriana.edu.co/personales/hbermude/documentosmodernizacion/documentos.htm" TargetMode="External"/><Relationship Id="rId15" Type="http://schemas.openxmlformats.org/officeDocument/2006/relationships/hyperlink" Target="http://www.iasplus.com/resource/0607canadaifrsplan.pdf" TargetMode="External"/><Relationship Id="rId10" Type="http://schemas.openxmlformats.org/officeDocument/2006/relationships/hyperlink" Target="http://unctad.org/en/docs/diaeed20081_en.pdf" TargetMode="External"/><Relationship Id="rId4" Type="http://schemas.openxmlformats.org/officeDocument/2006/relationships/hyperlink" Target="http://www.javeriana.edu.co/personales/hbermude/contrapartida/contrapartida187.doc" TargetMode="External"/><Relationship Id="rId9" Type="http://schemas.openxmlformats.org/officeDocument/2006/relationships/hyperlink" Target="http://www.iasb.org/How+we+develop+standards/Development+and+publication.htm" TargetMode="External"/><Relationship Id="rId14" Type="http://schemas.openxmlformats.org/officeDocument/2006/relationships/hyperlink" Target="http://www.sec.gov/rules/proposed/2008/33-89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9139D-0DC4-4A0C-BA48-74BF9B5B3BF8}"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s-CO"/>
        </a:p>
      </dgm:t>
    </dgm:pt>
    <dgm:pt modelId="{57B1CC2F-E5A3-4C08-A170-6BC71F9C8DA7}">
      <dgm:prSet phldrT="[Texto]" custT="1"/>
      <dgm:spPr/>
      <dgm:t>
        <a:bodyPr/>
        <a:lstStyle/>
        <a:p>
          <a:pPr algn="r"/>
          <a:r>
            <a:rPr lang="es-CO" sz="700"/>
            <a:t>Fase I Construcción</a:t>
          </a:r>
        </a:p>
      </dgm:t>
    </dgm:pt>
    <dgm:pt modelId="{DEAE80C5-80F3-4A07-B1D1-394C51D8620B}" type="parTrans" cxnId="{AAEF9AA0-2171-4DB5-9295-A8313BACE418}">
      <dgm:prSet/>
      <dgm:spPr/>
      <dgm:t>
        <a:bodyPr/>
        <a:lstStyle/>
        <a:p>
          <a:pPr algn="r"/>
          <a:endParaRPr lang="es-CO"/>
        </a:p>
      </dgm:t>
    </dgm:pt>
    <dgm:pt modelId="{221BC676-AEA5-44E9-A51A-D64625E7AEF7}" type="sibTrans" cxnId="{AAEF9AA0-2171-4DB5-9295-A8313BACE418}">
      <dgm:prSet/>
      <dgm:spPr/>
      <dgm:t>
        <a:bodyPr/>
        <a:lstStyle/>
        <a:p>
          <a:pPr algn="r"/>
          <a:endParaRPr lang="es-CO"/>
        </a:p>
      </dgm:t>
    </dgm:pt>
    <dgm:pt modelId="{8DEACD4C-99C1-4D19-B9B0-CA76886DA224}">
      <dgm:prSet phldrT="[Texto]" custT="1"/>
      <dgm:spPr/>
      <dgm:t>
        <a:bodyPr/>
        <a:lstStyle/>
        <a:p>
          <a:pPr algn="r"/>
          <a:r>
            <a:rPr lang="es-CO" sz="700"/>
            <a:t>Fase II</a:t>
          </a:r>
        </a:p>
        <a:p>
          <a:pPr algn="r"/>
          <a:r>
            <a:rPr lang="es-CO" sz="700"/>
            <a:t>Implementación</a:t>
          </a:r>
        </a:p>
      </dgm:t>
    </dgm:pt>
    <dgm:pt modelId="{0B4555B9-792B-4A90-98F4-EEC31AEC0487}" type="parTrans" cxnId="{1F5EA280-6D99-4788-A964-C305630490E9}">
      <dgm:prSet/>
      <dgm:spPr/>
      <dgm:t>
        <a:bodyPr/>
        <a:lstStyle/>
        <a:p>
          <a:pPr algn="r"/>
          <a:endParaRPr lang="es-CO"/>
        </a:p>
      </dgm:t>
    </dgm:pt>
    <dgm:pt modelId="{F927FC12-CB73-4D58-9D57-3D8798D74B6E}" type="sibTrans" cxnId="{1F5EA280-6D99-4788-A964-C305630490E9}">
      <dgm:prSet/>
      <dgm:spPr/>
      <dgm:t>
        <a:bodyPr/>
        <a:lstStyle/>
        <a:p>
          <a:pPr algn="r"/>
          <a:endParaRPr lang="es-CO"/>
        </a:p>
      </dgm:t>
    </dgm:pt>
    <dgm:pt modelId="{DFEC9EAA-8DEF-4F23-8234-66A4A4DE2F4C}">
      <dgm:prSet phldrT="[Texto]" custT="1"/>
      <dgm:spPr/>
      <dgm:t>
        <a:bodyPr/>
        <a:lstStyle/>
        <a:p>
          <a:pPr algn="r"/>
          <a:r>
            <a:rPr lang="es-CO" sz="700"/>
            <a:t>Fase III</a:t>
          </a:r>
        </a:p>
        <a:p>
          <a:pPr algn="r"/>
          <a:r>
            <a:rPr lang="es-CO" sz="700"/>
            <a:t>Plan de seguimiento</a:t>
          </a:r>
        </a:p>
      </dgm:t>
    </dgm:pt>
    <dgm:pt modelId="{9B72F4A6-8D21-4539-B020-F5480543AD7E}" type="parTrans" cxnId="{D21E07E2-46C9-4A95-97F8-6B06E9F04719}">
      <dgm:prSet/>
      <dgm:spPr/>
      <dgm:t>
        <a:bodyPr/>
        <a:lstStyle/>
        <a:p>
          <a:pPr algn="r"/>
          <a:endParaRPr lang="es-CO"/>
        </a:p>
      </dgm:t>
    </dgm:pt>
    <dgm:pt modelId="{344E57F3-8D50-4073-8C78-A9A88EDAFFE8}" type="sibTrans" cxnId="{D21E07E2-46C9-4A95-97F8-6B06E9F04719}">
      <dgm:prSet/>
      <dgm:spPr/>
      <dgm:t>
        <a:bodyPr/>
        <a:lstStyle/>
        <a:p>
          <a:pPr algn="r"/>
          <a:endParaRPr lang="es-CO"/>
        </a:p>
      </dgm:t>
    </dgm:pt>
    <dgm:pt modelId="{02FBB229-9746-47A3-BE37-DE775383F6C2}" type="pres">
      <dgm:prSet presAssocID="{22D9139D-0DC4-4A0C-BA48-74BF9B5B3BF8}" presName="Name0" presStyleCnt="0">
        <dgm:presLayoutVars>
          <dgm:dir/>
          <dgm:animLvl val="lvl"/>
          <dgm:resizeHandles val="exact"/>
        </dgm:presLayoutVars>
      </dgm:prSet>
      <dgm:spPr/>
      <dgm:t>
        <a:bodyPr/>
        <a:lstStyle/>
        <a:p>
          <a:endParaRPr lang="es-CO"/>
        </a:p>
      </dgm:t>
    </dgm:pt>
    <dgm:pt modelId="{BB1E84C3-62A5-41B3-91C3-AE1D82D03E2F}" type="pres">
      <dgm:prSet presAssocID="{57B1CC2F-E5A3-4C08-A170-6BC71F9C8DA7}" presName="parTxOnly" presStyleLbl="node1" presStyleIdx="0" presStyleCnt="3" custScaleX="157041" custScaleY="229896">
        <dgm:presLayoutVars>
          <dgm:chMax val="0"/>
          <dgm:chPref val="0"/>
          <dgm:bulletEnabled val="1"/>
        </dgm:presLayoutVars>
      </dgm:prSet>
      <dgm:spPr/>
      <dgm:t>
        <a:bodyPr/>
        <a:lstStyle/>
        <a:p>
          <a:endParaRPr lang="es-CO"/>
        </a:p>
      </dgm:t>
    </dgm:pt>
    <dgm:pt modelId="{D6B8E30C-128E-4999-8ED3-C2D314DA305F}" type="pres">
      <dgm:prSet presAssocID="{221BC676-AEA5-44E9-A51A-D64625E7AEF7}" presName="parTxOnlySpace" presStyleCnt="0"/>
      <dgm:spPr/>
    </dgm:pt>
    <dgm:pt modelId="{46CB7116-F0EA-4008-98CF-CAB19836E3AE}" type="pres">
      <dgm:prSet presAssocID="{8DEACD4C-99C1-4D19-B9B0-CA76886DA224}" presName="parTxOnly" presStyleLbl="node1" presStyleIdx="1" presStyleCnt="3" custScaleX="175732" custScaleY="232069" custLinFactNeighborX="-22348" custLinFactNeighborY="-1862">
        <dgm:presLayoutVars>
          <dgm:chMax val="0"/>
          <dgm:chPref val="0"/>
          <dgm:bulletEnabled val="1"/>
        </dgm:presLayoutVars>
      </dgm:prSet>
      <dgm:spPr/>
      <dgm:t>
        <a:bodyPr/>
        <a:lstStyle/>
        <a:p>
          <a:endParaRPr lang="es-CO"/>
        </a:p>
      </dgm:t>
    </dgm:pt>
    <dgm:pt modelId="{4335527B-9CB7-43EE-8C3A-DC9148E25ED6}" type="pres">
      <dgm:prSet presAssocID="{F927FC12-CB73-4D58-9D57-3D8798D74B6E}" presName="parTxOnlySpace" presStyleCnt="0"/>
      <dgm:spPr/>
    </dgm:pt>
    <dgm:pt modelId="{D8E1B29E-1CD6-4692-9817-E232EDDEC09E}" type="pres">
      <dgm:prSet presAssocID="{DFEC9EAA-8DEF-4F23-8234-66A4A4DE2F4C}" presName="parTxOnly" presStyleLbl="node1" presStyleIdx="2" presStyleCnt="3" custScaleX="159326" custScaleY="250331">
        <dgm:presLayoutVars>
          <dgm:chMax val="0"/>
          <dgm:chPref val="0"/>
          <dgm:bulletEnabled val="1"/>
        </dgm:presLayoutVars>
      </dgm:prSet>
      <dgm:spPr/>
      <dgm:t>
        <a:bodyPr/>
        <a:lstStyle/>
        <a:p>
          <a:endParaRPr lang="es-CO"/>
        </a:p>
      </dgm:t>
    </dgm:pt>
  </dgm:ptLst>
  <dgm:cxnLst>
    <dgm:cxn modelId="{D21E07E2-46C9-4A95-97F8-6B06E9F04719}" srcId="{22D9139D-0DC4-4A0C-BA48-74BF9B5B3BF8}" destId="{DFEC9EAA-8DEF-4F23-8234-66A4A4DE2F4C}" srcOrd="2" destOrd="0" parTransId="{9B72F4A6-8D21-4539-B020-F5480543AD7E}" sibTransId="{344E57F3-8D50-4073-8C78-A9A88EDAFFE8}"/>
    <dgm:cxn modelId="{54F6FD48-9D63-4E80-BEBE-33EA24EEB702}" type="presOf" srcId="{DFEC9EAA-8DEF-4F23-8234-66A4A4DE2F4C}" destId="{D8E1B29E-1CD6-4692-9817-E232EDDEC09E}" srcOrd="0" destOrd="0" presId="urn:microsoft.com/office/officeart/2005/8/layout/chevron1"/>
    <dgm:cxn modelId="{5EA8B662-3841-481C-A501-24F2DF85C7C6}" type="presOf" srcId="{22D9139D-0DC4-4A0C-BA48-74BF9B5B3BF8}" destId="{02FBB229-9746-47A3-BE37-DE775383F6C2}" srcOrd="0" destOrd="0" presId="urn:microsoft.com/office/officeart/2005/8/layout/chevron1"/>
    <dgm:cxn modelId="{B5992994-21EF-4110-93CF-56DC066D5923}" type="presOf" srcId="{57B1CC2F-E5A3-4C08-A170-6BC71F9C8DA7}" destId="{BB1E84C3-62A5-41B3-91C3-AE1D82D03E2F}" srcOrd="0" destOrd="0" presId="urn:microsoft.com/office/officeart/2005/8/layout/chevron1"/>
    <dgm:cxn modelId="{AAEF9AA0-2171-4DB5-9295-A8313BACE418}" srcId="{22D9139D-0DC4-4A0C-BA48-74BF9B5B3BF8}" destId="{57B1CC2F-E5A3-4C08-A170-6BC71F9C8DA7}" srcOrd="0" destOrd="0" parTransId="{DEAE80C5-80F3-4A07-B1D1-394C51D8620B}" sibTransId="{221BC676-AEA5-44E9-A51A-D64625E7AEF7}"/>
    <dgm:cxn modelId="{57A46C94-DBC7-438C-B2DA-5031543705A7}" type="presOf" srcId="{8DEACD4C-99C1-4D19-B9B0-CA76886DA224}" destId="{46CB7116-F0EA-4008-98CF-CAB19836E3AE}" srcOrd="0" destOrd="0" presId="urn:microsoft.com/office/officeart/2005/8/layout/chevron1"/>
    <dgm:cxn modelId="{1F5EA280-6D99-4788-A964-C305630490E9}" srcId="{22D9139D-0DC4-4A0C-BA48-74BF9B5B3BF8}" destId="{8DEACD4C-99C1-4D19-B9B0-CA76886DA224}" srcOrd="1" destOrd="0" parTransId="{0B4555B9-792B-4A90-98F4-EEC31AEC0487}" sibTransId="{F927FC12-CB73-4D58-9D57-3D8798D74B6E}"/>
    <dgm:cxn modelId="{9E616712-7E40-43BC-8ABA-0F8071CE048C}" type="presParOf" srcId="{02FBB229-9746-47A3-BE37-DE775383F6C2}" destId="{BB1E84C3-62A5-41B3-91C3-AE1D82D03E2F}" srcOrd="0" destOrd="0" presId="urn:microsoft.com/office/officeart/2005/8/layout/chevron1"/>
    <dgm:cxn modelId="{693F54C6-BF01-4857-8EC0-4AA6A736D57A}" type="presParOf" srcId="{02FBB229-9746-47A3-BE37-DE775383F6C2}" destId="{D6B8E30C-128E-4999-8ED3-C2D314DA305F}" srcOrd="1" destOrd="0" presId="urn:microsoft.com/office/officeart/2005/8/layout/chevron1"/>
    <dgm:cxn modelId="{D8728406-8190-4215-B791-C98D3D81FACA}" type="presParOf" srcId="{02FBB229-9746-47A3-BE37-DE775383F6C2}" destId="{46CB7116-F0EA-4008-98CF-CAB19836E3AE}" srcOrd="2" destOrd="0" presId="urn:microsoft.com/office/officeart/2005/8/layout/chevron1"/>
    <dgm:cxn modelId="{DE3CBC49-1366-42F4-9984-835F2DBBFBA9}" type="presParOf" srcId="{02FBB229-9746-47A3-BE37-DE775383F6C2}" destId="{4335527B-9CB7-43EE-8C3A-DC9148E25ED6}" srcOrd="3" destOrd="0" presId="urn:microsoft.com/office/officeart/2005/8/layout/chevron1"/>
    <dgm:cxn modelId="{6302E1F5-4BD6-4D68-970B-37105A67679F}" type="presParOf" srcId="{02FBB229-9746-47A3-BE37-DE775383F6C2}" destId="{D8E1B29E-1CD6-4692-9817-E232EDDEC09E}" srcOrd="4"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B548348E-2894-451B-8857-B714ACDF45B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CO"/>
        </a:p>
      </dgm:t>
    </dgm:pt>
    <dgm:pt modelId="{D730DA56-A989-407F-ACF2-71DFE826D6D9}">
      <dgm:prSet phldrT="[Texto]"/>
      <dgm:spPr/>
      <dgm:t>
        <a:bodyPr/>
        <a:lstStyle/>
        <a:p>
          <a:pPr algn="ctr"/>
          <a:r>
            <a:rPr lang="es-CO"/>
            <a:t>Difusión y capacitación </a:t>
          </a:r>
        </a:p>
      </dgm:t>
    </dgm:pt>
    <dgm:pt modelId="{DE1EAA83-F642-4104-93A2-B8D4D33286CF}" type="parTrans" cxnId="{281E5389-A10A-4AFA-A229-F68CCE74B4D3}">
      <dgm:prSet/>
      <dgm:spPr/>
      <dgm:t>
        <a:bodyPr/>
        <a:lstStyle/>
        <a:p>
          <a:endParaRPr lang="es-CO"/>
        </a:p>
      </dgm:t>
    </dgm:pt>
    <dgm:pt modelId="{69A28998-E7D1-40DD-A4C6-CE8E246387DD}" type="sibTrans" cxnId="{281E5389-A10A-4AFA-A229-F68CCE74B4D3}">
      <dgm:prSet/>
      <dgm:spPr/>
      <dgm:t>
        <a:bodyPr/>
        <a:lstStyle/>
        <a:p>
          <a:endParaRPr lang="es-CO"/>
        </a:p>
      </dgm:t>
    </dgm:pt>
    <dgm:pt modelId="{8ADE35AE-C838-4DBF-A3A3-491462DC82AA}">
      <dgm:prSet phldrT="[Texto]"/>
      <dgm:spPr/>
      <dgm:t>
        <a:bodyPr/>
        <a:lstStyle/>
        <a:p>
          <a:pPr algn="ctr"/>
          <a:r>
            <a:rPr lang="es-CO"/>
            <a:t>Socialización de los avances del proceso</a:t>
          </a:r>
        </a:p>
      </dgm:t>
    </dgm:pt>
    <dgm:pt modelId="{8551007E-6DD9-4B6A-9860-93734FA4A4EF}" type="parTrans" cxnId="{B3A530E1-3C4F-46EC-98D7-4E5975CE071E}">
      <dgm:prSet/>
      <dgm:spPr/>
      <dgm:t>
        <a:bodyPr/>
        <a:lstStyle/>
        <a:p>
          <a:endParaRPr lang="es-CO"/>
        </a:p>
      </dgm:t>
    </dgm:pt>
    <dgm:pt modelId="{A79D57F1-970D-4C68-8E21-53F7E629C8E3}" type="sibTrans" cxnId="{B3A530E1-3C4F-46EC-98D7-4E5975CE071E}">
      <dgm:prSet/>
      <dgm:spPr/>
      <dgm:t>
        <a:bodyPr/>
        <a:lstStyle/>
        <a:p>
          <a:endParaRPr lang="es-CO"/>
        </a:p>
      </dgm:t>
    </dgm:pt>
    <dgm:pt modelId="{D3D7A1A4-4E02-4D95-9070-D4A20592BFB4}" type="pres">
      <dgm:prSet presAssocID="{B548348E-2894-451B-8857-B714ACDF45B3}" presName="linear" presStyleCnt="0">
        <dgm:presLayoutVars>
          <dgm:animLvl val="lvl"/>
          <dgm:resizeHandles val="exact"/>
        </dgm:presLayoutVars>
      </dgm:prSet>
      <dgm:spPr/>
      <dgm:t>
        <a:bodyPr/>
        <a:lstStyle/>
        <a:p>
          <a:endParaRPr lang="es-CO"/>
        </a:p>
      </dgm:t>
    </dgm:pt>
    <dgm:pt modelId="{6A50F387-151C-4CAC-AAB3-DF706936DD00}" type="pres">
      <dgm:prSet presAssocID="{D730DA56-A989-407F-ACF2-71DFE826D6D9}" presName="parentText" presStyleLbl="node1" presStyleIdx="0" presStyleCnt="2">
        <dgm:presLayoutVars>
          <dgm:chMax val="0"/>
          <dgm:bulletEnabled val="1"/>
        </dgm:presLayoutVars>
      </dgm:prSet>
      <dgm:spPr/>
      <dgm:t>
        <a:bodyPr/>
        <a:lstStyle/>
        <a:p>
          <a:endParaRPr lang="es-CO"/>
        </a:p>
      </dgm:t>
    </dgm:pt>
    <dgm:pt modelId="{DAA7B26A-3EE7-47FC-B62B-D87D80C83F1E}" type="pres">
      <dgm:prSet presAssocID="{69A28998-E7D1-40DD-A4C6-CE8E246387DD}" presName="spacer" presStyleCnt="0"/>
      <dgm:spPr/>
    </dgm:pt>
    <dgm:pt modelId="{60C439F9-35FC-40C0-92AA-611BCC0A263A}" type="pres">
      <dgm:prSet presAssocID="{8ADE35AE-C838-4DBF-A3A3-491462DC82AA}" presName="parentText" presStyleLbl="node1" presStyleIdx="1" presStyleCnt="2">
        <dgm:presLayoutVars>
          <dgm:chMax val="0"/>
          <dgm:bulletEnabled val="1"/>
        </dgm:presLayoutVars>
      </dgm:prSet>
      <dgm:spPr/>
      <dgm:t>
        <a:bodyPr/>
        <a:lstStyle/>
        <a:p>
          <a:endParaRPr lang="es-CO"/>
        </a:p>
      </dgm:t>
    </dgm:pt>
  </dgm:ptLst>
  <dgm:cxnLst>
    <dgm:cxn modelId="{281E5389-A10A-4AFA-A229-F68CCE74B4D3}" srcId="{B548348E-2894-451B-8857-B714ACDF45B3}" destId="{D730DA56-A989-407F-ACF2-71DFE826D6D9}" srcOrd="0" destOrd="0" parTransId="{DE1EAA83-F642-4104-93A2-B8D4D33286CF}" sibTransId="{69A28998-E7D1-40DD-A4C6-CE8E246387DD}"/>
    <dgm:cxn modelId="{C4E3FAFC-A8DB-4414-AD49-7A45383DBD70}" type="presOf" srcId="{D730DA56-A989-407F-ACF2-71DFE826D6D9}" destId="{6A50F387-151C-4CAC-AAB3-DF706936DD00}" srcOrd="0" destOrd="0" presId="urn:microsoft.com/office/officeart/2005/8/layout/vList2"/>
    <dgm:cxn modelId="{6BD37D1A-553E-4DA8-9C0D-A51FE1682142}" type="presOf" srcId="{8ADE35AE-C838-4DBF-A3A3-491462DC82AA}" destId="{60C439F9-35FC-40C0-92AA-611BCC0A263A}" srcOrd="0" destOrd="0" presId="urn:microsoft.com/office/officeart/2005/8/layout/vList2"/>
    <dgm:cxn modelId="{B3A530E1-3C4F-46EC-98D7-4E5975CE071E}" srcId="{B548348E-2894-451B-8857-B714ACDF45B3}" destId="{8ADE35AE-C838-4DBF-A3A3-491462DC82AA}" srcOrd="1" destOrd="0" parTransId="{8551007E-6DD9-4B6A-9860-93734FA4A4EF}" sibTransId="{A79D57F1-970D-4C68-8E21-53F7E629C8E3}"/>
    <dgm:cxn modelId="{09198B08-664A-46D0-A1E6-9A5296CA3FBD}" type="presOf" srcId="{B548348E-2894-451B-8857-B714ACDF45B3}" destId="{D3D7A1A4-4E02-4D95-9070-D4A20592BFB4}" srcOrd="0" destOrd="0" presId="urn:microsoft.com/office/officeart/2005/8/layout/vList2"/>
    <dgm:cxn modelId="{1171973C-8F8E-47B4-8517-00ADFFF730A9}" type="presParOf" srcId="{D3D7A1A4-4E02-4D95-9070-D4A20592BFB4}" destId="{6A50F387-151C-4CAC-AAB3-DF706936DD00}" srcOrd="0" destOrd="0" presId="urn:microsoft.com/office/officeart/2005/8/layout/vList2"/>
    <dgm:cxn modelId="{2F92D3BB-3F06-4179-BDD8-105D6E3F9269}" type="presParOf" srcId="{D3D7A1A4-4E02-4D95-9070-D4A20592BFB4}" destId="{DAA7B26A-3EE7-47FC-B62B-D87D80C83F1E}" srcOrd="1" destOrd="0" presId="urn:microsoft.com/office/officeart/2005/8/layout/vList2"/>
    <dgm:cxn modelId="{7678F106-C0D6-4092-89A0-B76CA57B763E}" type="presParOf" srcId="{D3D7A1A4-4E02-4D95-9070-D4A20592BFB4}" destId="{60C439F9-35FC-40C0-92AA-611BCC0A263A}" srcOrd="2" destOrd="0" presId="urn:microsoft.com/office/officeart/2005/8/layout/vList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B1E84C3-62A5-41B3-91C3-AE1D82D03E2F}">
      <dsp:nvSpPr>
        <dsp:cNvPr id="0" name=""/>
        <dsp:cNvSpPr/>
      </dsp:nvSpPr>
      <dsp:spPr>
        <a:xfrm>
          <a:off x="1385" y="206681"/>
          <a:ext cx="1300249" cy="761386"/>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r" defTabSz="311150">
            <a:lnSpc>
              <a:spcPct val="90000"/>
            </a:lnSpc>
            <a:spcBef>
              <a:spcPct val="0"/>
            </a:spcBef>
            <a:spcAft>
              <a:spcPct val="35000"/>
            </a:spcAft>
          </a:pPr>
          <a:r>
            <a:rPr lang="es-CO" sz="700" kern="1200"/>
            <a:t>Fase I Construcción</a:t>
          </a:r>
        </a:p>
      </dsp:txBody>
      <dsp:txXfrm>
        <a:off x="1385" y="206681"/>
        <a:ext cx="1300249" cy="761386"/>
      </dsp:txXfrm>
    </dsp:sp>
    <dsp:sp modelId="{46CB7116-F0EA-4008-98CF-CAB19836E3AE}">
      <dsp:nvSpPr>
        <dsp:cNvPr id="0" name=""/>
        <dsp:cNvSpPr/>
      </dsp:nvSpPr>
      <dsp:spPr>
        <a:xfrm>
          <a:off x="1200334" y="196916"/>
          <a:ext cx="1455004" cy="76858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r" defTabSz="311150">
            <a:lnSpc>
              <a:spcPct val="90000"/>
            </a:lnSpc>
            <a:spcBef>
              <a:spcPct val="0"/>
            </a:spcBef>
            <a:spcAft>
              <a:spcPct val="35000"/>
            </a:spcAft>
          </a:pPr>
          <a:r>
            <a:rPr lang="es-CO" sz="700" kern="1200"/>
            <a:t>Fase II</a:t>
          </a:r>
        </a:p>
        <a:p>
          <a:pPr lvl="0" algn="r" defTabSz="311150">
            <a:lnSpc>
              <a:spcPct val="90000"/>
            </a:lnSpc>
            <a:spcBef>
              <a:spcPct val="0"/>
            </a:spcBef>
            <a:spcAft>
              <a:spcPct val="35000"/>
            </a:spcAft>
          </a:pPr>
          <a:r>
            <a:rPr lang="es-CO" sz="700" kern="1200"/>
            <a:t>Implementación</a:t>
          </a:r>
        </a:p>
      </dsp:txBody>
      <dsp:txXfrm>
        <a:off x="1200334" y="196916"/>
        <a:ext cx="1455004" cy="768582"/>
      </dsp:txXfrm>
    </dsp:sp>
    <dsp:sp modelId="{D8E1B29E-1CD6-4692-9817-E232EDDEC09E}">
      <dsp:nvSpPr>
        <dsp:cNvPr id="0" name=""/>
        <dsp:cNvSpPr/>
      </dsp:nvSpPr>
      <dsp:spPr>
        <a:xfrm>
          <a:off x="2591046" y="172842"/>
          <a:ext cx="1319168" cy="829064"/>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r" defTabSz="311150">
            <a:lnSpc>
              <a:spcPct val="90000"/>
            </a:lnSpc>
            <a:spcBef>
              <a:spcPct val="0"/>
            </a:spcBef>
            <a:spcAft>
              <a:spcPct val="35000"/>
            </a:spcAft>
          </a:pPr>
          <a:r>
            <a:rPr lang="es-CO" sz="700" kern="1200"/>
            <a:t>Fase III</a:t>
          </a:r>
        </a:p>
        <a:p>
          <a:pPr lvl="0" algn="r" defTabSz="311150">
            <a:lnSpc>
              <a:spcPct val="90000"/>
            </a:lnSpc>
            <a:spcBef>
              <a:spcPct val="0"/>
            </a:spcBef>
            <a:spcAft>
              <a:spcPct val="35000"/>
            </a:spcAft>
          </a:pPr>
          <a:r>
            <a:rPr lang="es-CO" sz="700" kern="1200"/>
            <a:t>Plan de seguimiento</a:t>
          </a:r>
        </a:p>
      </dsp:txBody>
      <dsp:txXfrm>
        <a:off x="2591046" y="172842"/>
        <a:ext cx="1319168" cy="82906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A50F387-151C-4CAC-AAB3-DF706936DD00}">
      <dsp:nvSpPr>
        <dsp:cNvPr id="0" name=""/>
        <dsp:cNvSpPr/>
      </dsp:nvSpPr>
      <dsp:spPr>
        <a:xfrm>
          <a:off x="0" y="2624"/>
          <a:ext cx="5683249" cy="52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s-CO" sz="2200" kern="1200"/>
            <a:t>Difusión y capacitación </a:t>
          </a:r>
        </a:p>
      </dsp:txBody>
      <dsp:txXfrm>
        <a:off x="0" y="2624"/>
        <a:ext cx="5683249" cy="527670"/>
      </dsp:txXfrm>
    </dsp:sp>
    <dsp:sp modelId="{60C439F9-35FC-40C0-92AA-611BCC0A263A}">
      <dsp:nvSpPr>
        <dsp:cNvPr id="0" name=""/>
        <dsp:cNvSpPr/>
      </dsp:nvSpPr>
      <dsp:spPr>
        <a:xfrm>
          <a:off x="0" y="593655"/>
          <a:ext cx="5683249" cy="5276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s-CO" sz="2200" kern="1200"/>
            <a:t>Socialización de los avances del proceso</a:t>
          </a:r>
        </a:p>
      </dsp:txBody>
      <dsp:txXfrm>
        <a:off x="0" y="593655"/>
        <a:ext cx="5683249" cy="52767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1E2E-033D-4B1A-9289-5DC13424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6410</Words>
  <Characters>35261</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brodri</cp:lastModifiedBy>
  <cp:revision>2</cp:revision>
  <dcterms:created xsi:type="dcterms:W3CDTF">2010-07-23T16:21:00Z</dcterms:created>
  <dcterms:modified xsi:type="dcterms:W3CDTF">2010-07-23T16:21:00Z</dcterms:modified>
</cp:coreProperties>
</file>