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F6" w:rsidRPr="00AA1B50" w:rsidRDefault="008252F6" w:rsidP="008252F6">
      <w:pPr>
        <w:pStyle w:val="Ttulo"/>
        <w:spacing w:line="240" w:lineRule="auto"/>
        <w:jc w:val="both"/>
        <w:rPr>
          <w:sz w:val="24"/>
          <w:szCs w:val="24"/>
        </w:rPr>
      </w:pPr>
      <w:r w:rsidRPr="00AA1B50">
        <w:rPr>
          <w:sz w:val="24"/>
          <w:szCs w:val="24"/>
        </w:rPr>
        <w:t>SUPERINTENDENCIA FINANCIERA – Funciones / CONTABILIDAD – Debe ser llevada conforme a los parámetros del Decreto 2649 de 1993 / SISTEMA FINANCIERO – Conformación / SOCIEDADES FIDUCIARIAS – Son sociedades comerciales y están obligados a llevar libros de contabilidad</w:t>
      </w:r>
    </w:p>
    <w:p w:rsidR="008252F6" w:rsidRPr="00AA1B50" w:rsidRDefault="008252F6" w:rsidP="008252F6">
      <w:pPr>
        <w:pStyle w:val="Ttulo"/>
        <w:spacing w:line="240" w:lineRule="auto"/>
        <w:jc w:val="both"/>
        <w:rPr>
          <w:sz w:val="24"/>
          <w:szCs w:val="24"/>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 xml:space="preserve">Sea lo primero advertir que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ostenta la facultad de regulación contable de los entes sometidos a su vigilancia y control según lo dispuesto en el Estatuto Orgánico del Sistema Financiero (E.O.S.F.), Decreto 663 de 1993 expedido por el Gobierno Nacional en virtud de las facultades otorgadas por el artículo 36 de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35 de 1993. Es así como el literal b) del numeral 3° (modificado por el artículo 37 de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510 de 1999)  señala como una de las funciones de control y vigilancia de </w:t>
      </w:r>
      <w:smartTag w:uri="urn:schemas-microsoft-com:office:smarttags" w:element="PersonName">
        <w:smartTagPr>
          <w:attr w:name="ProductID" w:val="la Superintendencia. En"/>
        </w:smartTagP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En</w:t>
        </w:r>
      </w:smartTag>
      <w:r w:rsidRPr="00AA1B50">
        <w:rPr>
          <w:rFonts w:ascii="Arial" w:hAnsi="Arial" w:cs="Arial"/>
          <w:sz w:val="24"/>
          <w:szCs w:val="24"/>
        </w:rPr>
        <w:t xml:space="preserve"> tales condiciones,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(hoy Superfinanciera) tiene entre sus facultades de inspección y vigilancia la de dictar o instruir a las entidades sometidas a su control, sobre las normas generales en materia de contabilidad, sin perjuicio de que éstas puedan utilizar métodos de reconocido valor aceptados por la ley. El Decreto 2649 de 1993 que constituye el reglamento general de la contabilidad en Colombia contiene “el conjunto de conceptos básicos y de reglas que deben ser observados al registrar e informar contablemente sobre los asuntos y actividades de personas naturales o jurídicas</w:t>
      </w:r>
      <w:proofErr w:type="gramStart"/>
      <w:r w:rsidRPr="00AA1B50">
        <w:rPr>
          <w:rFonts w:ascii="Arial" w:hAnsi="Arial" w:cs="Arial"/>
          <w:sz w:val="24"/>
          <w:szCs w:val="24"/>
        </w:rPr>
        <w:t>”(</w:t>
      </w:r>
      <w:proofErr w:type="gramEnd"/>
      <w:r w:rsidRPr="00AA1B50">
        <w:rPr>
          <w:rFonts w:ascii="Arial" w:hAnsi="Arial" w:cs="Arial"/>
          <w:sz w:val="24"/>
          <w:szCs w:val="24"/>
        </w:rPr>
        <w:t>artículo 1°). En cuanto a su ámbito de aplicación, este Decreto debe ser aplicado por todas las personas que de acuerdo con la ley están obligadas a llevar contabilidad (artículo 2°). Por su parte, el artículo 19-3 del Código de Comercio establece como deber de todos los comerciantes “llevar contabilidad regular de sus negocios conforme a las prescripciones legales”; mientras que el artículo 10 ibídem define como comerciantes a las personas que profesionalmente se ocupan en alguna de las actividades que la ley considera mercantiles. Por lo tanto, todos los comerciantes deben llevar contabilidad conforme a las reglas previstas en el Decreto 2649 de 1993. Según el artículo 1° del Estatuto Orgánico del Sistema Financiero (Decreto 663 de 1993), este sistema está conformado por: a) establecimientos de crédito; b) sociedades de servicios financieros; c) sociedades de capitalización; d) entidades aseguradoras y e) intermediarios de seguros y reaseguros. Entre las sociedades de servicios financieros (artículo 3°) el mismo Decreto sitúa a las sociedades fiduciarias, almacenes generales de depósito, las sociedades administradoras de fondos de pensiones y de cesantías y sociedades de intermediación cambiaria. Conforme a lo dispuesto, las entidades del sector financiero, entre ellas las sociedades fiduciarias, reguladas en el Estatuto Orgánico del Sector Financiero, en su calidad de sociedades comerciales, ostentan la calidad de comerciantes, y como tal, están obligadas a llevar libros de contabilidad bajo las prescripciones legales contempladas en el Código de Comercio así como en el reglamento general de la contabilidad, Decreto 2649 de 1993 que determina los principios de contabilidad de general aceptación</w:t>
      </w:r>
    </w:p>
    <w:p w:rsidR="008252F6" w:rsidRPr="00AA1B50" w:rsidRDefault="008252F6" w:rsidP="008252F6">
      <w:pPr>
        <w:jc w:val="both"/>
        <w:rPr>
          <w:rFonts w:ascii="Arial" w:hAnsi="Arial" w:cs="Arial"/>
          <w:sz w:val="24"/>
          <w:szCs w:val="24"/>
        </w:rPr>
      </w:pPr>
    </w:p>
    <w:p w:rsidR="008252F6" w:rsidRPr="00AA1B50" w:rsidRDefault="008252F6" w:rsidP="008252F6">
      <w:pPr>
        <w:pStyle w:val="Ttulo"/>
        <w:spacing w:line="240" w:lineRule="auto"/>
        <w:jc w:val="both"/>
        <w:rPr>
          <w:b w:val="0"/>
          <w:sz w:val="24"/>
          <w:szCs w:val="24"/>
        </w:rPr>
      </w:pPr>
      <w:r w:rsidRPr="00AA1B50">
        <w:rPr>
          <w:sz w:val="24"/>
          <w:szCs w:val="24"/>
        </w:rPr>
        <w:t xml:space="preserve">FUENTE FORMAL: </w:t>
      </w:r>
      <w:r w:rsidRPr="00AA1B50">
        <w:rPr>
          <w:b w:val="0"/>
          <w:sz w:val="24"/>
          <w:szCs w:val="24"/>
        </w:rPr>
        <w:t>ESTATUTO ORGANICO DEL SISTEMA FINANCIERO – ARTICULO 95</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b/>
          <w:sz w:val="24"/>
          <w:szCs w:val="24"/>
        </w:rPr>
      </w:pPr>
      <w:r w:rsidRPr="00AA1B50">
        <w:rPr>
          <w:rFonts w:ascii="Arial" w:hAnsi="Arial" w:cs="Arial"/>
          <w:b/>
          <w:sz w:val="24"/>
          <w:szCs w:val="24"/>
        </w:rPr>
        <w:lastRenderedPageBreak/>
        <w:t>NORMAS CONTABLES PARA ENTIDAD FINANCIERA – Aplicación / NORMAS MERCANTILES PARA ENTIDAD FINANCIERA – Subsidiariedad</w:t>
      </w:r>
    </w:p>
    <w:p w:rsidR="008252F6" w:rsidRPr="00AA1B50" w:rsidRDefault="008252F6" w:rsidP="008252F6">
      <w:pPr>
        <w:jc w:val="both"/>
        <w:rPr>
          <w:rFonts w:ascii="Arial" w:hAnsi="Arial" w:cs="Arial"/>
          <w:b/>
          <w:sz w:val="24"/>
          <w:szCs w:val="24"/>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 xml:space="preserve">Las “normas generales” que deben ser observadas por las entidades vigiladas del sector financiero según el Estatuto Orgánico del Sistema Financiero se sujetan en todo caso a los principios de contabilidad generalmente aceptados que preceptúan el reglamento general de la contabilidad y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43 de 1990, dado que los conceptos básicos y las reglas que rigen la contabilidad del sector privado en Colombia cubren a todas las personas sean naturales o jurídicas, sin importar la actividad mercantil que desarrollen, y sin que exista la posibilidad de que las entidades que ejercen control y vigilancia dentro de su papel de policía administrativa tengan la facultad de establecer normas contables que excedan o desborden lo establecido en la normativa contable general, de  competencia del legislador, razón adicional para que en virtud de la jerarquía normativa, los actos administrativos de carácter general expedidos por los órganos de control no puedan exceder su potestad de reglamentación en materias contables. La aplicación de las normas generales previstas en el reglamento de la contabilidad, que tienen el carácter de mercantiles al referirse a los principios que deben tener en cuenta al llevar la contabilidad, se entiende  sin perjuicio de las directrices </w:t>
      </w:r>
      <w:proofErr w:type="gramStart"/>
      <w:r w:rsidRPr="00AA1B50">
        <w:rPr>
          <w:rFonts w:ascii="Arial" w:hAnsi="Arial" w:cs="Arial"/>
          <w:sz w:val="24"/>
          <w:szCs w:val="24"/>
        </w:rPr>
        <w:t>específicas</w:t>
      </w:r>
      <w:proofErr w:type="gramEnd"/>
      <w:r w:rsidRPr="00AA1B50">
        <w:rPr>
          <w:rFonts w:ascii="Arial" w:hAnsi="Arial" w:cs="Arial"/>
          <w:sz w:val="24"/>
          <w:szCs w:val="24"/>
        </w:rPr>
        <w:t xml:space="preserve"> que dicte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siempre y cuando no se aparten de los criterios y principios contables de la normativa general. Igualmente se debe precisar que el acatamiento que en materia contable deben las normas generales expedidas por los órganos de control como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(hoy Superfinanciera) a los principios de contabilidad de general aceptación, en virtud del principio de legalidad, no descarta que  cuando en algún asunto específico propio de la actividad financiera que regula, se expida una disposición especial por las entidades de control y vigilancia éstas prevalecerán sobre las generales del Código de Comercio: Sobre el particular el artículo 2034 de éste último Estatuto prevé.</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b/>
          <w:sz w:val="24"/>
          <w:szCs w:val="24"/>
        </w:rPr>
      </w:pPr>
      <w:r w:rsidRPr="00AA1B50">
        <w:rPr>
          <w:rFonts w:ascii="Arial" w:hAnsi="Arial" w:cs="Arial"/>
          <w:b/>
          <w:sz w:val="24"/>
          <w:szCs w:val="24"/>
        </w:rPr>
        <w:t>PRINCIPIO DE ASOCIACION O RELACION DE CAUSALIDAD – Alcance / CONTABILIDAD – Debe corresponder a las características y prácticas de cada actividad</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El principio de asociación o relación de causalidad indica que se deben asociar los ingresos devengados o recibidos con los costos y gastos incurridos para producir tales ingresos, registrando unos y otros simultáneamente en las cuentas de resultados. Esta norma básica implica que con el fin de lograr que los resultados de cada período muestren un valor confiable y demostrativo de la realidad económica del ente económico, los costos y gastos realizados en el período que sean necesarios para la obtención de los ingresos por el mismo período deben contabilizarse simultáneamente. Por su parte para lograr la satisfacción de las cualidades de la información, la norma básica de las características y prácticas de cada actividad, implica que la contabilidad debe diseñarse considerando las limitaciones razonablemente impuestas por las particularidades y prácticas de cada actividad, tales como la naturaleza de sus operaciones, ubicación geográfica, desarrollo social, económico o tecnológico.</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b/>
          <w:sz w:val="24"/>
          <w:szCs w:val="24"/>
        </w:rPr>
      </w:pPr>
      <w:r w:rsidRPr="00AA1B50">
        <w:rPr>
          <w:rFonts w:ascii="Arial" w:hAnsi="Arial" w:cs="Arial"/>
          <w:b/>
          <w:sz w:val="24"/>
          <w:szCs w:val="24"/>
        </w:rPr>
        <w:t xml:space="preserve">PROPIEDAD, PLANTA Y EQUIPO – Definición / INVENTARIOS – Definición / ACTIVO FIJO Y MOVIBLE – Diferencias. Criterio jurisprudencial / PERCEPCION DE INGRESOS – No determina la naturaleza de activo fijo o movible del bien / DESTINACION DEL BIEN – Determina la naturaleza de activo fijo o movible </w:t>
      </w:r>
    </w:p>
    <w:p w:rsidR="008252F6" w:rsidRPr="00AA1B50" w:rsidRDefault="008252F6" w:rsidP="008252F6">
      <w:pPr>
        <w:jc w:val="both"/>
        <w:rPr>
          <w:rFonts w:ascii="Arial" w:hAnsi="Arial" w:cs="Arial"/>
          <w:b/>
          <w:sz w:val="24"/>
          <w:szCs w:val="24"/>
        </w:rPr>
      </w:pPr>
    </w:p>
    <w:p w:rsidR="008252F6" w:rsidRPr="00AA1B50" w:rsidRDefault="008252F6" w:rsidP="008252F6">
      <w:pPr>
        <w:widowControl w:val="0"/>
        <w:tabs>
          <w:tab w:val="left" w:pos="204"/>
        </w:tabs>
        <w:jc w:val="both"/>
        <w:rPr>
          <w:rFonts w:ascii="Arial" w:hAnsi="Arial" w:cs="Arial"/>
          <w:sz w:val="24"/>
          <w:szCs w:val="24"/>
        </w:rPr>
      </w:pPr>
      <w:r w:rsidRPr="00AA1B50">
        <w:rPr>
          <w:rFonts w:ascii="Arial" w:hAnsi="Arial" w:cs="Arial"/>
          <w:sz w:val="24"/>
          <w:szCs w:val="24"/>
        </w:rPr>
        <w:t xml:space="preserve">La propiedad, planta y equipo mejor conocido como activos fijos, representa los activos o bienes de un ente económico que ordinariamente no están destinados para la venta, ya que no hacen parte del giro ordinario u objeto social principal, sin que esto signifique  que esté prohibida su enajenación. La propiedad de estos bienes tiene como finalidad utilizarlos para la producción, comercialización o prestación de servicios en desarrollo de su actividad principal, o bien para entregarlos en arrendamiento o usarlos en la administración de </w:t>
      </w:r>
      <w:smartTag w:uri="urn:schemas-microsoft-com:office:smarttags" w:element="PersonName">
        <w:smartTagPr>
          <w:attr w:name="ProductID" w:val="la empresa. Los"/>
        </w:smartTagPr>
        <w:r w:rsidRPr="00AA1B50">
          <w:rPr>
            <w:rFonts w:ascii="Arial" w:hAnsi="Arial" w:cs="Arial"/>
            <w:sz w:val="24"/>
            <w:szCs w:val="24"/>
          </w:rPr>
          <w:t>la empresa. Los</w:t>
        </w:r>
      </w:smartTag>
      <w:r w:rsidRPr="00AA1B50">
        <w:rPr>
          <w:rFonts w:ascii="Arial" w:hAnsi="Arial" w:cs="Arial"/>
          <w:sz w:val="24"/>
          <w:szCs w:val="24"/>
        </w:rPr>
        <w:t xml:space="preserve"> costos y gastos incurridos para su construcción o adquisición deben capitalizarse, esto es, llevarse como mayor valor de los mismos, hasta que el bien esté en condiciones de utilización. Los inventarios, hacen referencia a los bienes corporales que en virtud del objeto social o actividades económicas llevadas a cabo por el ente económico, están destinados para la venta, incluyendo aquellos que están en proceso de producción o las materias primas o materiales que se utilizarán para producir los productos terminados. Al igual que los activos fijos, su costo histórico debe incluir todas las erogaciones necesarias para ponerlos en condiciones de utilización dentro del proceso productivo o para su enajenación, principal propósito de su existencia. Aquí es pertinente traer a colación, el criterio jurisprudencial que </w:t>
      </w:r>
      <w:smartTag w:uri="urn:schemas-microsoft-com:office:smarttags" w:element="PersonName">
        <w:smartTagPr>
          <w:attr w:name="ProductID" w:val="la Sala"/>
        </w:smartTagPr>
        <w:r w:rsidRPr="00AA1B50">
          <w:rPr>
            <w:rFonts w:ascii="Arial" w:hAnsi="Arial" w:cs="Arial"/>
            <w:sz w:val="24"/>
            <w:szCs w:val="24"/>
          </w:rPr>
          <w:t>la Sala</w:t>
        </w:r>
      </w:smartTag>
      <w:r w:rsidRPr="00AA1B50">
        <w:rPr>
          <w:rFonts w:ascii="Arial" w:hAnsi="Arial" w:cs="Arial"/>
          <w:sz w:val="24"/>
          <w:szCs w:val="24"/>
        </w:rPr>
        <w:t xml:space="preserve"> ha manifestado en relación con la diferencia entre activo fijo y movible (inventarios) en el ámbito tributario, aplicable también al contable dada sus innegables semejanzas. Se ha dicho que no define “…la naturaleza del activo fijo la circunstancia de que el activo haya producido ingresos, pues la producción o ausencia de ingresos es irrelevante para certificar el carácter de fijo o movible de un bien. Lo relevante para la determinación de la naturaleza de un bien como fijo o movible está dado por su destinación y si la misma corresponde al giro ordinario de los negocios del contribuyente”.</w:t>
      </w:r>
    </w:p>
    <w:p w:rsidR="008252F6" w:rsidRPr="00AA1B50" w:rsidRDefault="008252F6" w:rsidP="008252F6">
      <w:pPr>
        <w:widowControl w:val="0"/>
        <w:tabs>
          <w:tab w:val="left" w:pos="204"/>
        </w:tabs>
        <w:jc w:val="both"/>
        <w:rPr>
          <w:rFonts w:ascii="Arial" w:hAnsi="Arial" w:cs="Arial"/>
          <w:sz w:val="24"/>
          <w:szCs w:val="24"/>
        </w:rPr>
      </w:pPr>
    </w:p>
    <w:p w:rsidR="008252F6" w:rsidRPr="00AA1B50" w:rsidRDefault="008252F6" w:rsidP="008252F6">
      <w:pPr>
        <w:widowControl w:val="0"/>
        <w:tabs>
          <w:tab w:val="left" w:pos="204"/>
        </w:tabs>
        <w:jc w:val="both"/>
        <w:rPr>
          <w:rFonts w:ascii="Arial" w:hAnsi="Arial" w:cs="Arial"/>
          <w:sz w:val="24"/>
          <w:szCs w:val="24"/>
          <w:lang w:val="es-MX"/>
        </w:rPr>
      </w:pPr>
      <w:r w:rsidRPr="00AA1B50">
        <w:rPr>
          <w:rFonts w:ascii="Arial" w:hAnsi="Arial" w:cs="Arial"/>
          <w:b/>
          <w:sz w:val="24"/>
          <w:szCs w:val="24"/>
        </w:rPr>
        <w:t xml:space="preserve">NOTA DE RELATORIA: </w:t>
      </w:r>
      <w:r w:rsidRPr="00AA1B50">
        <w:rPr>
          <w:rFonts w:ascii="Arial" w:hAnsi="Arial" w:cs="Arial"/>
          <w:sz w:val="24"/>
          <w:szCs w:val="24"/>
        </w:rPr>
        <w:t xml:space="preserve">Sobre la diferencia entre activo fijo y movible se citan sentencias del Consejo de Estado, Sección Cuarta de </w:t>
      </w:r>
      <w:r w:rsidRPr="00AA1B50">
        <w:rPr>
          <w:rFonts w:ascii="Arial" w:hAnsi="Arial" w:cs="Arial"/>
          <w:sz w:val="24"/>
          <w:szCs w:val="24"/>
          <w:lang w:val="es-MX"/>
        </w:rPr>
        <w:t xml:space="preserve">12 de abril de 2002 Rad. </w:t>
      </w:r>
      <w:smartTag w:uri="urn:schemas-microsoft-com:office:smarttags" w:element="metricconverter">
        <w:smartTagPr>
          <w:attr w:name="ProductID" w:val="12175 M"/>
        </w:smartTagPr>
        <w:r w:rsidRPr="00AA1B50">
          <w:rPr>
            <w:rFonts w:ascii="Arial" w:hAnsi="Arial" w:cs="Arial"/>
            <w:sz w:val="24"/>
            <w:szCs w:val="24"/>
            <w:lang w:val="es-MX"/>
          </w:rPr>
          <w:t>12175 M</w:t>
        </w:r>
      </w:smartTag>
      <w:r w:rsidRPr="00AA1B50">
        <w:rPr>
          <w:rFonts w:ascii="Arial" w:hAnsi="Arial" w:cs="Arial"/>
          <w:sz w:val="24"/>
          <w:szCs w:val="24"/>
          <w:lang w:val="es-MX"/>
        </w:rPr>
        <w:t xml:space="preserve">.P. Germán Ayala Mantilla y 4 de septiembre de 2008 Rad. </w:t>
      </w:r>
      <w:smartTag w:uri="urn:schemas-microsoft-com:office:smarttags" w:element="metricconverter">
        <w:smartTagPr>
          <w:attr w:name="ProductID" w:val="16215 M"/>
        </w:smartTagPr>
        <w:r w:rsidRPr="00AA1B50">
          <w:rPr>
            <w:rFonts w:ascii="Arial" w:hAnsi="Arial" w:cs="Arial"/>
            <w:sz w:val="24"/>
            <w:szCs w:val="24"/>
            <w:lang w:val="es-MX"/>
          </w:rPr>
          <w:t>16215 M</w:t>
        </w:r>
      </w:smartTag>
      <w:r w:rsidRPr="00AA1B50">
        <w:rPr>
          <w:rFonts w:ascii="Arial" w:hAnsi="Arial" w:cs="Arial"/>
          <w:sz w:val="24"/>
          <w:szCs w:val="24"/>
          <w:lang w:val="es-MX"/>
        </w:rPr>
        <w:t>.P. María Inés Ortiz Barbosa</w:t>
      </w:r>
    </w:p>
    <w:p w:rsidR="008252F6" w:rsidRPr="00AA1B50" w:rsidRDefault="008252F6" w:rsidP="008252F6">
      <w:pPr>
        <w:widowControl w:val="0"/>
        <w:tabs>
          <w:tab w:val="left" w:pos="204"/>
        </w:tabs>
        <w:jc w:val="both"/>
        <w:rPr>
          <w:rFonts w:ascii="Arial" w:hAnsi="Arial" w:cs="Arial"/>
          <w:sz w:val="24"/>
          <w:szCs w:val="24"/>
          <w:lang w:val="es-MX"/>
        </w:rPr>
      </w:pPr>
    </w:p>
    <w:p w:rsidR="008252F6" w:rsidRPr="00AA1B50" w:rsidRDefault="008252F6" w:rsidP="008252F6">
      <w:pPr>
        <w:widowControl w:val="0"/>
        <w:tabs>
          <w:tab w:val="left" w:pos="204"/>
        </w:tabs>
        <w:jc w:val="both"/>
        <w:rPr>
          <w:rFonts w:ascii="Arial" w:hAnsi="Arial" w:cs="Arial"/>
          <w:b/>
          <w:sz w:val="24"/>
          <w:szCs w:val="24"/>
          <w:lang w:val="es-MX"/>
        </w:rPr>
      </w:pPr>
      <w:r w:rsidRPr="00AA1B50">
        <w:rPr>
          <w:rFonts w:ascii="Arial" w:hAnsi="Arial" w:cs="Arial"/>
          <w:b/>
          <w:sz w:val="24"/>
          <w:szCs w:val="24"/>
          <w:lang w:val="es-MX"/>
        </w:rPr>
        <w:t>CONTRATO DE OBRA – Como su objeto social era la construcción de una estación de gas licuado este bien es un activo movible / ESTACION DE GAS LICUADO – Al ser el objeto del contrato de obra tiene la naturaleza de inventario</w:t>
      </w:r>
    </w:p>
    <w:p w:rsidR="008252F6" w:rsidRPr="00AA1B50" w:rsidRDefault="008252F6" w:rsidP="008252F6">
      <w:pPr>
        <w:widowControl w:val="0"/>
        <w:tabs>
          <w:tab w:val="left" w:pos="204"/>
        </w:tabs>
        <w:jc w:val="both"/>
        <w:rPr>
          <w:rFonts w:ascii="Arial" w:hAnsi="Arial" w:cs="Arial"/>
          <w:b/>
          <w:sz w:val="24"/>
          <w:szCs w:val="24"/>
          <w:lang w:val="es-MX"/>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 xml:space="preserve">De manera que el bien inmueble denominado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que comprendía entre otros, cinco tanques de 15000 barriles cada uno, sistema de bombeo de refuerzo, sistema de tea incluído el sistema de relevo, sistema de protección contra incendio, edificio para el cuarto de control de subestación eléctrica y </w:t>
      </w:r>
      <w:r w:rsidRPr="00AA1B50">
        <w:rPr>
          <w:rFonts w:ascii="Arial" w:hAnsi="Arial" w:cs="Arial"/>
          <w:sz w:val="24"/>
          <w:szCs w:val="24"/>
        </w:rPr>
        <w:lastRenderedPageBreak/>
        <w:t xml:space="preserve">comunicaciones, constituía en ese momento para el fideicomitente un inventario o activo movible como quiera que representaba el objeto del contrato de obra suscrito con la sociedad fiduciaria Anglo FIDUANGLO, naturaleza que no variaba para la fiduciaria a partir de su entrega en arrendamiento a ECOPETROL ya que aplicando el precedente jurisprudencial antes anotado, el percibir ingresos no es un factor relevante tratándose de un bien, para considerarse fijo o movible, sino su destinación, y en este caso, la destinación y objeto principal de los contratos de arrendamiento, promesa de compraventa y transferencia, era la adquisición de la estación de gas por parte de ECOPETROL, así durante los meses previos a la formalización de la venta, la empresa petrolera estuviera en calidad de arrendataria. De manera que dentro de una interpretación finalística de los artículos 63 y 64 del Decreto 2649 de 1993, el activo construído en virtud del contrato de fiducia suscrito entre la actora y </w:t>
      </w:r>
      <w:smartTag w:uri="urn:schemas-microsoft-com:office:smarttags" w:element="PersonName">
        <w:smartTagPr>
          <w:attr w:name="ProductID" w:val="la Uni￳n Temporal"/>
        </w:smartTagPr>
        <w:smartTag w:uri="urn:schemas-microsoft-com:office:smarttags" w:element="PersonName">
          <w:smartTagPr>
            <w:attr w:name="ProductID" w:val="la Uni￳n"/>
          </w:smartTagPr>
          <w:r w:rsidRPr="00AA1B50">
            <w:rPr>
              <w:rFonts w:ascii="Arial" w:hAnsi="Arial" w:cs="Arial"/>
              <w:sz w:val="24"/>
              <w:szCs w:val="24"/>
            </w:rPr>
            <w:t>la Unión</w:t>
          </w:r>
        </w:smartTag>
        <w:r w:rsidRPr="00AA1B50">
          <w:rPr>
            <w:rFonts w:ascii="Arial" w:hAnsi="Arial" w:cs="Arial"/>
            <w:sz w:val="24"/>
            <w:szCs w:val="24"/>
          </w:rPr>
          <w:t xml:space="preserve"> Temporal</w:t>
        </w:r>
      </w:smartTag>
      <w:r w:rsidRPr="00AA1B50">
        <w:rPr>
          <w:rFonts w:ascii="Arial" w:hAnsi="Arial" w:cs="Arial"/>
          <w:sz w:val="24"/>
          <w:szCs w:val="24"/>
        </w:rPr>
        <w:t xml:space="preserve"> como fideicomitente, tenía la naturaleza de inventario, dada su destinación final de estar destinado para la venta.</w:t>
      </w:r>
    </w:p>
    <w:p w:rsidR="008252F6" w:rsidRPr="00AA1B50" w:rsidRDefault="008252F6" w:rsidP="008252F6">
      <w:pPr>
        <w:widowControl w:val="0"/>
        <w:tabs>
          <w:tab w:val="left" w:pos="204"/>
        </w:tabs>
        <w:jc w:val="both"/>
        <w:rPr>
          <w:rFonts w:ascii="Arial" w:hAnsi="Arial" w:cs="Arial"/>
          <w:b/>
          <w:sz w:val="24"/>
          <w:szCs w:val="24"/>
        </w:rPr>
      </w:pPr>
    </w:p>
    <w:p w:rsidR="008252F6" w:rsidRPr="00AA1B50" w:rsidRDefault="008252F6" w:rsidP="008252F6">
      <w:pPr>
        <w:jc w:val="both"/>
        <w:rPr>
          <w:rFonts w:ascii="Arial" w:hAnsi="Arial" w:cs="Arial"/>
          <w:b/>
          <w:sz w:val="24"/>
          <w:szCs w:val="24"/>
        </w:rPr>
      </w:pPr>
      <w:r w:rsidRPr="00AA1B50">
        <w:rPr>
          <w:rFonts w:ascii="Arial" w:hAnsi="Arial" w:cs="Arial"/>
          <w:b/>
          <w:sz w:val="24"/>
          <w:szCs w:val="24"/>
        </w:rPr>
        <w:t xml:space="preserve">CARGOS DIFERIDOS – Definición / EROGACIONES POR INTERESES POR FINANCIACION Y DIFERENCIA EN CAMBIO – Son cargos diferidos </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 xml:space="preserve">La norma técnica específica para los cargos diferidos, que hacen relación a las erogaciones representadas en bienes y/o servicios en que se ha incurrido, las cuales no producirán ingreso en el período corriente, pero se tiene la expectativa de que se percibirán en un futuro, derivados de la realización de las actividades propias del objeto social. El motivo del aplazamiento o diferimiento para la obtención de ingresos se debe a las etapas de preparación, alistamiento y organización en que se encuentra el ente económico por lo cual tampoco es factible asociarle costos como lo señala el principio de asociación (Decreto 2649/93 artículo 13). Las erogaciones referentes a los intereses por financiación y la diferencia en cambio por las deudas contraídas en moneda extranjera para la construcción del bien movible, aunque se efectuaron cuando el activo ya estaba construído y se estaban percibiendo ingresos derivados del contrato de arrendamiento, su finalidad última y objeto primordial de la negociación era su enajenación, de la cual se irían a obtener ingresos al cabo de los 83 cánones y de los anticipos al precio de la compraventa que se recibirían de ECOPETROL hasta llegar al año 2004 cuando éste último pagaría la suma de US 55.831.153 como precio de la compra venta. La enajenación de un bien en una fecha futura determinada, significa en este caso de un contrato atípico como lo es de APT – Arrendamiento, Promesa de Compraventa y Transferencia que se haría en el curso normal de los negocios, aunque su  negociabilidad estuviera condicionada. La percepción de los ingresos por arrendamiento, no era el objeto principal de la constitución del fideicomiso, sino su venta al terminar el período pactado, de manera que los gastos incurridos tenían la naturaleza de cargos diferidos, ya que representaban erogaciones de las cuales se percibirían ingresos en un futuro en desarrollo de su objeto social. Dada la atipicidad del contrato suscrito, el hecho que después de construído el inmueble, se recibieran por una parte ingresos por arrendamiento e igualmente anticipos al precio de la compraventa, no desvirtúa el carácter de diferidos de las erogaciones efectuadas, puesto que tales operaciones </w:t>
      </w:r>
      <w:r w:rsidRPr="00AA1B50">
        <w:rPr>
          <w:rFonts w:ascii="Arial" w:hAnsi="Arial" w:cs="Arial"/>
          <w:sz w:val="24"/>
          <w:szCs w:val="24"/>
        </w:rPr>
        <w:lastRenderedPageBreak/>
        <w:t>de carácter secundario frente al objeto social principal, eran transacciones de doble connotación: preliminares de carácter contractual propias del convenio realizado entre las partes  y, además, necesarias para llevar a cabo la voluntad real de los contratantes.</w:t>
      </w:r>
    </w:p>
    <w:p w:rsidR="008252F6" w:rsidRPr="00AA1B50" w:rsidRDefault="008252F6" w:rsidP="008252F6">
      <w:pPr>
        <w:pStyle w:val="Ttulo"/>
        <w:spacing w:line="240" w:lineRule="auto"/>
        <w:rPr>
          <w:sz w:val="24"/>
          <w:szCs w:val="24"/>
        </w:rPr>
      </w:pPr>
    </w:p>
    <w:p w:rsidR="008252F6" w:rsidRPr="00AA1B50" w:rsidRDefault="008252F6" w:rsidP="008252F6">
      <w:pPr>
        <w:pStyle w:val="Ttulo"/>
        <w:spacing w:line="240" w:lineRule="auto"/>
        <w:rPr>
          <w:sz w:val="24"/>
          <w:szCs w:val="24"/>
        </w:rPr>
      </w:pPr>
    </w:p>
    <w:p w:rsidR="008252F6" w:rsidRPr="00AA1B50" w:rsidRDefault="008252F6" w:rsidP="008252F6">
      <w:pPr>
        <w:pStyle w:val="Ttulo"/>
        <w:spacing w:line="240" w:lineRule="auto"/>
        <w:rPr>
          <w:sz w:val="24"/>
          <w:szCs w:val="24"/>
        </w:rPr>
      </w:pPr>
      <w:r w:rsidRPr="00AA1B50">
        <w:rPr>
          <w:sz w:val="24"/>
          <w:szCs w:val="24"/>
        </w:rPr>
        <w:t>CONSEJO DE ESTADO</w:t>
      </w:r>
    </w:p>
    <w:p w:rsidR="008252F6" w:rsidRPr="00AA1B50" w:rsidRDefault="008252F6" w:rsidP="008252F6">
      <w:pPr>
        <w:pStyle w:val="Ttulo"/>
        <w:spacing w:line="240" w:lineRule="auto"/>
        <w:rPr>
          <w:sz w:val="24"/>
          <w:szCs w:val="24"/>
        </w:rPr>
      </w:pPr>
    </w:p>
    <w:p w:rsidR="008252F6" w:rsidRPr="00AA1B50" w:rsidRDefault="008252F6" w:rsidP="008252F6">
      <w:pPr>
        <w:tabs>
          <w:tab w:val="left" w:pos="1701"/>
          <w:tab w:val="left" w:pos="2835"/>
          <w:tab w:val="left" w:pos="3969"/>
        </w:tabs>
        <w:jc w:val="center"/>
        <w:rPr>
          <w:rFonts w:ascii="Arial" w:hAnsi="Arial" w:cs="Arial"/>
          <w:b/>
          <w:bCs/>
          <w:sz w:val="24"/>
          <w:szCs w:val="24"/>
        </w:rPr>
      </w:pPr>
      <w:r w:rsidRPr="00AA1B50">
        <w:rPr>
          <w:rFonts w:ascii="Arial" w:hAnsi="Arial" w:cs="Arial"/>
          <w:b/>
          <w:bCs/>
          <w:sz w:val="24"/>
          <w:szCs w:val="24"/>
        </w:rPr>
        <w:t>SALA DE LO CONTENCIOSO ADMINISTRATIVO</w:t>
      </w:r>
    </w:p>
    <w:p w:rsidR="008252F6" w:rsidRPr="00AA1B50" w:rsidRDefault="008252F6" w:rsidP="008252F6">
      <w:pPr>
        <w:tabs>
          <w:tab w:val="left" w:pos="1701"/>
          <w:tab w:val="left" w:pos="2835"/>
          <w:tab w:val="left" w:pos="3969"/>
        </w:tabs>
        <w:jc w:val="center"/>
        <w:rPr>
          <w:rFonts w:ascii="Arial" w:hAnsi="Arial" w:cs="Arial"/>
          <w:b/>
          <w:bCs/>
          <w:sz w:val="24"/>
          <w:szCs w:val="24"/>
        </w:rPr>
      </w:pPr>
    </w:p>
    <w:p w:rsidR="008252F6" w:rsidRPr="00AA1B50" w:rsidRDefault="008252F6" w:rsidP="008252F6">
      <w:pPr>
        <w:tabs>
          <w:tab w:val="left" w:pos="1701"/>
          <w:tab w:val="left" w:pos="2835"/>
          <w:tab w:val="left" w:pos="3969"/>
        </w:tabs>
        <w:jc w:val="center"/>
        <w:rPr>
          <w:rFonts w:ascii="Arial" w:hAnsi="Arial" w:cs="Arial"/>
          <w:b/>
          <w:bCs/>
          <w:sz w:val="24"/>
          <w:szCs w:val="24"/>
        </w:rPr>
      </w:pPr>
      <w:r w:rsidRPr="00AA1B50">
        <w:rPr>
          <w:rFonts w:ascii="Arial" w:hAnsi="Arial" w:cs="Arial"/>
          <w:b/>
          <w:bCs/>
          <w:sz w:val="24"/>
          <w:szCs w:val="24"/>
        </w:rPr>
        <w:t>SECCION CUARTA</w:t>
      </w:r>
    </w:p>
    <w:p w:rsidR="008252F6" w:rsidRPr="00AA1B50" w:rsidRDefault="008252F6" w:rsidP="008252F6">
      <w:pPr>
        <w:tabs>
          <w:tab w:val="left" w:pos="1701"/>
          <w:tab w:val="left" w:pos="2835"/>
          <w:tab w:val="left" w:pos="3969"/>
        </w:tabs>
        <w:jc w:val="both"/>
        <w:rPr>
          <w:rFonts w:ascii="Arial" w:hAnsi="Arial" w:cs="Arial"/>
          <w:sz w:val="24"/>
          <w:szCs w:val="24"/>
        </w:rPr>
      </w:pPr>
    </w:p>
    <w:p w:rsidR="008252F6" w:rsidRPr="00AA1B50" w:rsidRDefault="008252F6" w:rsidP="008252F6">
      <w:pPr>
        <w:pStyle w:val="Ttulo3"/>
        <w:tabs>
          <w:tab w:val="clear" w:pos="1701"/>
          <w:tab w:val="clear" w:pos="2835"/>
          <w:tab w:val="clear" w:pos="3969"/>
          <w:tab w:val="left" w:pos="0"/>
        </w:tabs>
        <w:spacing w:line="240" w:lineRule="auto"/>
        <w:rPr>
          <w:b/>
          <w:bCs/>
        </w:rPr>
      </w:pPr>
      <w:r w:rsidRPr="00AA1B50">
        <w:rPr>
          <w:b/>
          <w:bCs/>
        </w:rPr>
        <w:t>Consejero Ponente: MARTHA TERESA BRICEÑO DE VALENCIA</w:t>
      </w:r>
    </w:p>
    <w:p w:rsidR="008252F6" w:rsidRPr="00AA1B50" w:rsidRDefault="008252F6" w:rsidP="008252F6">
      <w:pPr>
        <w:tabs>
          <w:tab w:val="left" w:pos="1701"/>
          <w:tab w:val="left" w:pos="2835"/>
          <w:tab w:val="left" w:pos="3969"/>
        </w:tabs>
        <w:jc w:val="both"/>
        <w:rPr>
          <w:rFonts w:ascii="Arial" w:hAnsi="Arial" w:cs="Arial"/>
          <w:sz w:val="24"/>
          <w:szCs w:val="24"/>
        </w:rPr>
      </w:pPr>
    </w:p>
    <w:p w:rsidR="008252F6" w:rsidRPr="00AA1B50" w:rsidRDefault="008252F6" w:rsidP="008252F6">
      <w:pPr>
        <w:jc w:val="both"/>
        <w:rPr>
          <w:rFonts w:ascii="Arial" w:hAnsi="Arial" w:cs="Arial"/>
          <w:sz w:val="24"/>
          <w:szCs w:val="24"/>
          <w:lang w:val="es-MX"/>
        </w:rPr>
      </w:pPr>
      <w:r w:rsidRPr="00AA1B50">
        <w:rPr>
          <w:rFonts w:ascii="Arial" w:hAnsi="Arial" w:cs="Arial"/>
          <w:sz w:val="24"/>
          <w:szCs w:val="24"/>
          <w:lang w:val="es-MX"/>
        </w:rPr>
        <w:t>Bogotá, D.C., doce (12) de mayo de dos mil diez (2010)</w:t>
      </w:r>
    </w:p>
    <w:p w:rsidR="008252F6" w:rsidRPr="00AA1B50" w:rsidRDefault="008252F6" w:rsidP="008252F6">
      <w:pPr>
        <w:jc w:val="both"/>
        <w:rPr>
          <w:rFonts w:ascii="Arial" w:hAnsi="Arial" w:cs="Arial"/>
          <w:sz w:val="24"/>
          <w:szCs w:val="24"/>
          <w:lang w:val="es-MX"/>
        </w:rPr>
      </w:pPr>
    </w:p>
    <w:p w:rsidR="008252F6" w:rsidRPr="00AA1B50" w:rsidRDefault="008252F6" w:rsidP="008252F6">
      <w:pPr>
        <w:jc w:val="both"/>
        <w:rPr>
          <w:rFonts w:ascii="Arial" w:hAnsi="Arial" w:cs="Arial"/>
          <w:b/>
          <w:sz w:val="24"/>
          <w:szCs w:val="24"/>
        </w:rPr>
      </w:pPr>
      <w:r w:rsidRPr="00AA1B50">
        <w:rPr>
          <w:rFonts w:ascii="Arial" w:hAnsi="Arial" w:cs="Arial"/>
          <w:b/>
          <w:sz w:val="24"/>
          <w:szCs w:val="24"/>
          <w:lang w:val="es-MX"/>
        </w:rPr>
        <w:t xml:space="preserve">Radicación número: </w:t>
      </w:r>
      <w:r w:rsidRPr="00AA1B50">
        <w:rPr>
          <w:rFonts w:ascii="Arial" w:hAnsi="Arial" w:cs="Arial"/>
          <w:b/>
          <w:sz w:val="24"/>
          <w:szCs w:val="24"/>
        </w:rPr>
        <w:t>25000-23-27-000-2002-01446-01(17135)</w:t>
      </w:r>
    </w:p>
    <w:p w:rsidR="008252F6" w:rsidRPr="00AA1B50" w:rsidRDefault="008252F6" w:rsidP="008252F6">
      <w:pPr>
        <w:pStyle w:val="Ttulo4"/>
        <w:tabs>
          <w:tab w:val="clear" w:pos="2552"/>
          <w:tab w:val="left" w:pos="2880"/>
        </w:tabs>
        <w:spacing w:line="240" w:lineRule="auto"/>
        <w:rPr>
          <w:bCs w:val="0"/>
          <w:color w:val="auto"/>
          <w:lang w:val="es-MX"/>
        </w:rPr>
      </w:pPr>
    </w:p>
    <w:p w:rsidR="008252F6" w:rsidRPr="00AA1B50" w:rsidRDefault="008252F6" w:rsidP="008252F6">
      <w:pPr>
        <w:pStyle w:val="Ttulo4"/>
        <w:tabs>
          <w:tab w:val="clear" w:pos="2552"/>
          <w:tab w:val="left" w:pos="2880"/>
        </w:tabs>
        <w:spacing w:line="240" w:lineRule="auto"/>
        <w:rPr>
          <w:lang w:val="es-ES"/>
        </w:rPr>
      </w:pPr>
      <w:r w:rsidRPr="00AA1B50">
        <w:rPr>
          <w:lang w:val="es-MX"/>
        </w:rPr>
        <w:t xml:space="preserve">Actor: </w:t>
      </w:r>
      <w:r w:rsidRPr="00AA1B50">
        <w:rPr>
          <w:lang w:val="es-ES"/>
        </w:rPr>
        <w:t>LLOYDS TRUST S.A.</w:t>
      </w:r>
    </w:p>
    <w:p w:rsidR="008252F6" w:rsidRPr="00AA1B50" w:rsidRDefault="008252F6" w:rsidP="008252F6">
      <w:pPr>
        <w:jc w:val="both"/>
        <w:rPr>
          <w:rFonts w:ascii="Arial" w:hAnsi="Arial" w:cs="Arial"/>
          <w:b/>
          <w:sz w:val="24"/>
          <w:szCs w:val="24"/>
          <w:lang w:val="es-MX"/>
        </w:rPr>
      </w:pPr>
    </w:p>
    <w:p w:rsidR="008252F6" w:rsidRPr="00AA1B50" w:rsidRDefault="008252F6" w:rsidP="008252F6">
      <w:pPr>
        <w:jc w:val="both"/>
        <w:rPr>
          <w:rFonts w:ascii="Arial" w:hAnsi="Arial" w:cs="Arial"/>
          <w:b/>
          <w:sz w:val="24"/>
          <w:szCs w:val="24"/>
          <w:lang w:val="es-MX"/>
        </w:rPr>
      </w:pPr>
      <w:r w:rsidRPr="00AA1B50">
        <w:rPr>
          <w:rFonts w:ascii="Arial" w:hAnsi="Arial" w:cs="Arial"/>
          <w:b/>
          <w:sz w:val="24"/>
          <w:szCs w:val="24"/>
          <w:lang w:val="es-MX"/>
        </w:rPr>
        <w:t>Demandado: SUPERINTENDENCIA BANCARIA</w:t>
      </w:r>
    </w:p>
    <w:p w:rsidR="008252F6" w:rsidRPr="00AA1B50" w:rsidRDefault="008252F6" w:rsidP="008252F6">
      <w:pPr>
        <w:jc w:val="both"/>
        <w:rPr>
          <w:rFonts w:ascii="Arial" w:hAnsi="Arial" w:cs="Arial"/>
          <w:b/>
          <w:sz w:val="24"/>
          <w:szCs w:val="24"/>
          <w:lang w:val="es-MX"/>
        </w:rPr>
      </w:pPr>
    </w:p>
    <w:p w:rsidR="008252F6" w:rsidRPr="00AA1B50" w:rsidRDefault="008252F6" w:rsidP="008252F6">
      <w:pPr>
        <w:jc w:val="both"/>
        <w:rPr>
          <w:rFonts w:ascii="Arial" w:hAnsi="Arial" w:cs="Arial"/>
          <w:b/>
          <w:sz w:val="24"/>
          <w:szCs w:val="24"/>
          <w:lang w:val="es-MX"/>
        </w:rPr>
      </w:pPr>
    </w:p>
    <w:p w:rsidR="008252F6" w:rsidRPr="00AA1B50" w:rsidRDefault="008252F6" w:rsidP="008252F6">
      <w:pPr>
        <w:jc w:val="both"/>
        <w:rPr>
          <w:rFonts w:ascii="Arial" w:hAnsi="Arial" w:cs="Arial"/>
          <w:b/>
          <w:sz w:val="24"/>
          <w:szCs w:val="24"/>
          <w:lang w:val="es-MX"/>
        </w:rPr>
      </w:pPr>
      <w:r w:rsidRPr="00AA1B50">
        <w:rPr>
          <w:rFonts w:ascii="Arial" w:hAnsi="Arial" w:cs="Arial"/>
          <w:b/>
          <w:sz w:val="24"/>
          <w:szCs w:val="24"/>
          <w:lang w:val="es-MX"/>
        </w:rPr>
        <w:t>FALLO</w:t>
      </w:r>
    </w:p>
    <w:p w:rsidR="008252F6" w:rsidRPr="00AA1B50" w:rsidRDefault="008252F6" w:rsidP="008252F6">
      <w:pPr>
        <w:jc w:val="both"/>
        <w:rPr>
          <w:rFonts w:ascii="Arial" w:hAnsi="Arial" w:cs="Arial"/>
          <w:b/>
          <w:sz w:val="24"/>
          <w:szCs w:val="24"/>
          <w:lang w:val="es-MX"/>
        </w:rPr>
      </w:pPr>
    </w:p>
    <w:p w:rsidR="008252F6" w:rsidRPr="00AA1B50" w:rsidRDefault="008252F6" w:rsidP="008252F6">
      <w:pPr>
        <w:tabs>
          <w:tab w:val="left" w:pos="1701"/>
          <w:tab w:val="left" w:pos="2835"/>
          <w:tab w:val="left" w:pos="3969"/>
        </w:tabs>
        <w:jc w:val="both"/>
        <w:rPr>
          <w:rFonts w:ascii="Arial" w:hAnsi="Arial" w:cs="Arial"/>
          <w:sz w:val="24"/>
          <w:szCs w:val="24"/>
        </w:rPr>
      </w:pPr>
    </w:p>
    <w:p w:rsidR="008252F6" w:rsidRPr="00AA1B50" w:rsidRDefault="008252F6" w:rsidP="008252F6">
      <w:pPr>
        <w:jc w:val="both"/>
        <w:rPr>
          <w:rFonts w:ascii="Arial" w:hAnsi="Arial" w:cs="Arial"/>
          <w:color w:val="000000"/>
          <w:sz w:val="24"/>
          <w:szCs w:val="24"/>
        </w:rPr>
      </w:pPr>
      <w:r w:rsidRPr="00AA1B50">
        <w:rPr>
          <w:rFonts w:ascii="Arial" w:hAnsi="Arial" w:cs="Arial"/>
          <w:color w:val="000000"/>
          <w:sz w:val="24"/>
          <w:szCs w:val="24"/>
        </w:rPr>
        <w:t xml:space="preserve">Decide </w:t>
      </w:r>
      <w:smartTag w:uri="urn:schemas-microsoft-com:office:smarttags" w:element="PersonName">
        <w:smartTagPr>
          <w:attr w:name="ProductID" w:val="la Sala"/>
        </w:smartTagPr>
        <w:r w:rsidRPr="00AA1B50">
          <w:rPr>
            <w:rFonts w:ascii="Arial" w:hAnsi="Arial" w:cs="Arial"/>
            <w:color w:val="000000"/>
            <w:sz w:val="24"/>
            <w:szCs w:val="24"/>
          </w:rPr>
          <w:t>la Sala</w:t>
        </w:r>
      </w:smartTag>
      <w:r w:rsidRPr="00AA1B50">
        <w:rPr>
          <w:rFonts w:ascii="Arial" w:hAnsi="Arial" w:cs="Arial"/>
          <w:color w:val="000000"/>
          <w:sz w:val="24"/>
          <w:szCs w:val="24"/>
        </w:rPr>
        <w:t xml:space="preserve"> el recurso de apelación interpuesto por la demandante  contra la sentencia de 31 de enero de 2008 proferida por el Tribunal Administrativo del Cundinamarca, denegatoria de las súplicas de la demanda, dentro del proceso de nulidad y restablecimiento del derecho contra los actos administrativos por medio de los cuales </w:t>
      </w:r>
      <w:smartTag w:uri="urn:schemas-microsoft-com:office:smarttags" w:element="PersonName">
        <w:smartTagPr>
          <w:attr w:name="ProductID" w:val="la Superintendencia Bancaria"/>
        </w:smartTagPr>
        <w:r w:rsidRPr="00AA1B50">
          <w:rPr>
            <w:rFonts w:ascii="Arial" w:hAnsi="Arial" w:cs="Arial"/>
            <w:color w:val="000000"/>
            <w:sz w:val="24"/>
            <w:szCs w:val="24"/>
          </w:rPr>
          <w:t>la Superintendencia Bancaria</w:t>
        </w:r>
      </w:smartTag>
      <w:r w:rsidRPr="00AA1B50">
        <w:rPr>
          <w:rFonts w:ascii="Arial" w:hAnsi="Arial" w:cs="Arial"/>
          <w:color w:val="000000"/>
          <w:sz w:val="24"/>
          <w:szCs w:val="24"/>
        </w:rPr>
        <w:t xml:space="preserve"> (hoy Superintendencia Financiera) ordenó regularizar la contabilidad del fideicomiso Impsa-Foster-Eiffel- FIDUANGLO y se  abstuvo de pronunciarse sobre los estados financieros con corte al 31 de diciembre de 2001.</w:t>
      </w:r>
    </w:p>
    <w:p w:rsidR="008252F6" w:rsidRPr="00AA1B50" w:rsidRDefault="008252F6" w:rsidP="008252F6">
      <w:pPr>
        <w:ind w:firstLine="708"/>
        <w:jc w:val="both"/>
        <w:rPr>
          <w:rFonts w:ascii="Arial" w:hAnsi="Arial" w:cs="Arial"/>
          <w:color w:val="000000"/>
          <w:sz w:val="24"/>
          <w:szCs w:val="24"/>
        </w:rPr>
      </w:pPr>
      <w:r w:rsidRPr="00AA1B50">
        <w:rPr>
          <w:rFonts w:ascii="Arial" w:hAnsi="Arial" w:cs="Arial"/>
          <w:color w:val="000000"/>
          <w:sz w:val="24"/>
          <w:szCs w:val="24"/>
        </w:rPr>
        <w:t xml:space="preserve"> </w:t>
      </w:r>
    </w:p>
    <w:p w:rsidR="008252F6" w:rsidRPr="00AA1B50" w:rsidRDefault="008252F6" w:rsidP="008252F6">
      <w:pPr>
        <w:pStyle w:val="Ttulo1"/>
        <w:spacing w:before="0" w:after="0"/>
        <w:jc w:val="center"/>
        <w:rPr>
          <w:sz w:val="24"/>
          <w:szCs w:val="24"/>
        </w:rPr>
      </w:pPr>
      <w:r w:rsidRPr="00AA1B50">
        <w:rPr>
          <w:sz w:val="24"/>
          <w:szCs w:val="24"/>
        </w:rPr>
        <w:t>ANTECEDENTES</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 xml:space="preserve">El 15 de febrero de 1995 ECOPETROL adjudicó la licitación pública N° CIB-001-94 para la optimización del almacenamiento de gas licuado a </w:t>
      </w:r>
      <w:smartTag w:uri="urn:schemas-microsoft-com:office:smarttags" w:element="PersonName">
        <w:smartTagPr>
          <w:attr w:name="ProductID" w:val="la Uni￳n Temporal Impsa-Foster"/>
        </w:smartTagP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Impsa-Foster</w:t>
        </w:r>
      </w:smartTag>
      <w:r w:rsidRPr="00AA1B50">
        <w:rPr>
          <w:rFonts w:ascii="Arial" w:hAnsi="Arial" w:cs="Arial"/>
          <w:sz w:val="24"/>
          <w:szCs w:val="24"/>
        </w:rPr>
        <w:t xml:space="preserve">-Eiffel. La oferta se concretó en un contrato atípico en </w:t>
      </w:r>
      <w:smartTag w:uri="urn:schemas-microsoft-com:office:smarttags" w:element="PersonName">
        <w:smartTagPr>
          <w:attr w:name="ProductID" w:val="la modalidad APT"/>
        </w:smartTagPr>
        <w:r w:rsidRPr="00AA1B50">
          <w:rPr>
            <w:rFonts w:ascii="Arial" w:hAnsi="Arial" w:cs="Arial"/>
            <w:sz w:val="24"/>
            <w:szCs w:val="24"/>
          </w:rPr>
          <w:t>la modalidad APT</w:t>
        </w:r>
      </w:smartTag>
      <w:r w:rsidRPr="00AA1B50">
        <w:rPr>
          <w:rFonts w:ascii="Arial" w:hAnsi="Arial" w:cs="Arial"/>
          <w:sz w:val="24"/>
          <w:szCs w:val="24"/>
        </w:rPr>
        <w:t xml:space="preserve"> – Arrendamiento, Promesa de Compraventa y Transferencia, para lo cual se suscribieron lo contratos de arrendamiento DIJ-746 y de Promesa de Venta DIJ-747 que incluyen la obligación de construir una Estación de gas licuado y de arrendarla a ECOPETROL y el compromiso de vender y la de ECOPETROL de comprar la Estación a la terminación del proyecto mediante la suscripción de un Contrato de Venta. Los pagos por parte de ECOPETROL se harían con cargo al </w:t>
      </w:r>
      <w:r w:rsidRPr="00AA1B50">
        <w:rPr>
          <w:rFonts w:ascii="Arial" w:hAnsi="Arial" w:cs="Arial"/>
          <w:sz w:val="24"/>
          <w:szCs w:val="24"/>
        </w:rPr>
        <w:lastRenderedPageBreak/>
        <w:t>API – A52360 acreditado con el Certificado de Aprobación de Vigencias Futuras expedido por el Consejo Superior de Política Fiscal, CONFIS.</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Una vez constituído el Patrimonio Autónomo Fideicomiso de Administración, Garantía y Fuente de Pago U.T. Impsa-Foster-Eiffel- FIDUANGLO (Hoy Lloysd Trust S.A.),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cedió los contratos de arrendamiento y de promesa de venta que sustentaban el proyecto. La financiación del 100%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se haría mediante la colocación de bonos en el mercado internacional de capitales bajo la modalidad “bullet” de conformidad con la cual se haría un único pago final del principal en la misma fecha en que se efectuara la compraventa.</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concluyó el 1° de agosto de 1997 con el Acta de Entrega de la obra, por parte de ECOPETROL. El arrendamiento a ECOPETROL para la operación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culminó en marzo de 2004. Desde cuando terminó la construcción de la estación, ECOPETROL pagó el canon de arrendamiento y un anticipo mensual al precio de venta.  El tratamiento contable efectuado por el Patrimonio Autónomo fue el siguiente: los costos y gastos incurridos en la ejecución del proyecto hasta el 31 de julio de 1997 se capitalizaron como un mayor valor de </w:t>
      </w:r>
      <w:smartTag w:uri="urn:schemas-microsoft-com:office:smarttags" w:element="PersonName">
        <w:smartTagPr>
          <w:attr w:name="ProductID" w:val="la Estaci￳n. De"/>
        </w:smartTagPr>
        <w:r w:rsidRPr="00AA1B50">
          <w:rPr>
            <w:rFonts w:ascii="Arial" w:hAnsi="Arial" w:cs="Arial"/>
            <w:sz w:val="24"/>
            <w:szCs w:val="24"/>
          </w:rPr>
          <w:t>la Estación. La</w:t>
        </w:r>
      </w:smartTag>
      <w:r w:rsidRPr="00AA1B50">
        <w:rPr>
          <w:rFonts w:ascii="Arial" w:hAnsi="Arial" w:cs="Arial"/>
          <w:sz w:val="24"/>
          <w:szCs w:val="24"/>
        </w:rPr>
        <w:t xml:space="preserve"> causación de los cánones de arrendamiento como ingresos corrientes y los anticipos al precio de venta como un pasivo. Los costos y gastos incurridos en la financiación del proyecto con posterioridad a la aceptación de la obra por ECOPETROL se amortizaron en el Estado de Pérdidas y Ganancias en la parte proporcional a los ingresos generados por los arrendamientos. Los costos y gastos imputables al precio de la venta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se difirieron contabilizándose así: los intereses pagados por la financiación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en la cuenta 191595 Gastos anticipados y la pérdida en cambio sobre el pasivo en dólares americanos se llevó a la cuenta 171592 Bienes Realizables y otros activos -Construcciones en Curso- Costo Financiero Diferencia en Cambio.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Lloyds Trust S.A. elevó consulta ante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para que ésta le indicara el tratamiento contable de los costos y gastos del Patrimonio Autónomo (P.A.).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expidió el Concepto 2000044101 del 4 de septiembre de 2000, en el cual determina que tales costos y deducciones no pueden ser registrados como cargos diferidos sino afectar las cuentas de resultados periódicamente. Ante la solicitud de reconsideración del Patrimonio Autónomo,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mediante Concepto N° 2000044101-7 del 16 de noviembre de 2000, confirmó la opinión inicial.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El dictamen del revisor fiscal Price Waterhouse mostró una opinión adversa sobre los Estados Financieros  al 31 de diciembre de 2001 advirtiendo que la diferencia en cambio y los intereses sobre las obligaciones financieras nacionales y extranjeras contraídas para financiar el Proyecto con ECOPETROL debía contabilizarse como mayor valor de los activos hasta el momento de la terminación de la construcción y amortizarse  directamente en los estados de resultados a partir de ese momento contra los ingresos que recibía el Patrimonio Autónomo por cánones de arrendamiento.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Con ocasión de la opinión adversa del revisor fiscal de </w:t>
      </w:r>
      <w:smartTag w:uri="urn:schemas-microsoft-com:office:smarttags" w:element="PersonName">
        <w:smartTagPr>
          <w:attr w:name="ProductID" w:val="la Sociedad Fiduciaria Lloyds"/>
        </w:smartTagPr>
        <w:smartTag w:uri="urn:schemas-microsoft-com:office:smarttags" w:element="PersonName">
          <w:smartTagPr>
            <w:attr w:name="ProductID" w:val="la Sociedad Fiduciaria"/>
          </w:smartTagPr>
          <w:r w:rsidRPr="00AA1B50">
            <w:rPr>
              <w:rFonts w:ascii="Arial" w:hAnsi="Arial" w:cs="Arial"/>
              <w:sz w:val="24"/>
              <w:szCs w:val="24"/>
            </w:rPr>
            <w:t>la Sociedad Fiduciaria</w:t>
          </w:r>
        </w:smartTag>
        <w:r w:rsidRPr="00AA1B50">
          <w:rPr>
            <w:rFonts w:ascii="Arial" w:hAnsi="Arial" w:cs="Arial"/>
            <w:sz w:val="24"/>
            <w:szCs w:val="24"/>
          </w:rPr>
          <w:t xml:space="preserve"> Lloyds</w:t>
        </w:r>
      </w:smartTag>
      <w:r w:rsidRPr="00AA1B50">
        <w:rPr>
          <w:rFonts w:ascii="Arial" w:hAnsi="Arial" w:cs="Arial"/>
          <w:sz w:val="24"/>
          <w:szCs w:val="24"/>
        </w:rPr>
        <w:t xml:space="preserve"> Trust S.A.,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emitió los Oficios  2002006091-1 del 4 de marzo de 2002, 2002006091-4 del 2 de mayo de 2002 por el cual ordenó regularizar la contabilidad del Patrimonio Autónomo y se abstuvo de pronunciarse sobre los estados financieros con corte a 31 de diciembre de 2001 por no ajustarse la contabilidad del fideicomiso a las normas generalmente aceptadas y a las instrucciones impartidas por </w:t>
      </w:r>
      <w:smartTag w:uri="urn:schemas-microsoft-com:office:smarttags" w:element="PersonName">
        <w:smartTagPr>
          <w:attr w:name="ProductID" w:val="la Superintendencia. La"/>
        </w:smartTagPr>
        <w:r w:rsidRPr="00AA1B50">
          <w:rPr>
            <w:rFonts w:ascii="Arial" w:hAnsi="Arial" w:cs="Arial"/>
            <w:sz w:val="24"/>
            <w:szCs w:val="24"/>
          </w:rPr>
          <w:t>la Superintendencia. La</w:t>
        </w:r>
      </w:smartTag>
      <w:r w:rsidRPr="00AA1B50">
        <w:rPr>
          <w:rFonts w:ascii="Arial" w:hAnsi="Arial" w:cs="Arial"/>
          <w:sz w:val="24"/>
          <w:szCs w:val="24"/>
        </w:rPr>
        <w:t xml:space="preserve"> razón del rechazo se sustentó en que el manejo contable no era viable en la medida en que el activo del proyecto, ya se estaba utilizando. Contra los mencionados oficios, la actora interpuso los recursos de reposición y apelación los cuales fueron resueltos en forma desfavorable.</w:t>
      </w:r>
    </w:p>
    <w:p w:rsidR="008252F6" w:rsidRPr="00AA1B50" w:rsidRDefault="008252F6" w:rsidP="008252F6">
      <w:pPr>
        <w:ind w:firstLine="708"/>
        <w:jc w:val="both"/>
        <w:rPr>
          <w:rFonts w:ascii="Arial" w:hAnsi="Arial" w:cs="Arial"/>
          <w:sz w:val="24"/>
          <w:szCs w:val="24"/>
        </w:rPr>
      </w:pPr>
    </w:p>
    <w:p w:rsidR="008252F6" w:rsidRPr="00AA1B50" w:rsidRDefault="008252F6" w:rsidP="008252F6">
      <w:pPr>
        <w:pStyle w:val="Ttulo5"/>
        <w:spacing w:before="0"/>
        <w:jc w:val="center"/>
        <w:rPr>
          <w:rFonts w:ascii="Arial" w:hAnsi="Arial" w:cs="Arial"/>
          <w:b/>
          <w:color w:val="auto"/>
          <w:sz w:val="24"/>
          <w:szCs w:val="24"/>
        </w:rPr>
      </w:pPr>
      <w:r w:rsidRPr="00AA1B50">
        <w:rPr>
          <w:rFonts w:ascii="Arial" w:hAnsi="Arial" w:cs="Arial"/>
          <w:b/>
          <w:color w:val="auto"/>
          <w:sz w:val="24"/>
          <w:szCs w:val="24"/>
        </w:rPr>
        <w:t>DEMANDA</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En ejercicio de la acción de nulidad y restablecimiento del derecho, </w:t>
      </w:r>
      <w:smartTag w:uri="urn:schemas-microsoft-com:office:smarttags" w:element="PersonName">
        <w:smartTagPr>
          <w:attr w:name="ProductID" w:val="la sociedad LLOYDS  TRUST"/>
        </w:smartTagPr>
        <w:r w:rsidRPr="00AA1B50">
          <w:rPr>
            <w:rFonts w:ascii="Arial" w:hAnsi="Arial" w:cs="Arial"/>
            <w:sz w:val="24"/>
            <w:szCs w:val="24"/>
          </w:rPr>
          <w:t>la sociedad LLOYDS  TRUST</w:t>
        </w:r>
      </w:smartTag>
      <w:r w:rsidRPr="00AA1B50">
        <w:rPr>
          <w:rFonts w:ascii="Arial" w:hAnsi="Arial" w:cs="Arial"/>
          <w:sz w:val="24"/>
          <w:szCs w:val="24"/>
        </w:rPr>
        <w:t xml:space="preserve"> S.A. solicitó la nulidad de los Oficios 2002006091-1 del 4 de marzo de 2002, 2002006091-4 del 2 de mayo de 2002 expedidos por el Director Técnico para Sociedades Fiduciarias de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y 2002006091-6 de 17 de junio de 2002 de </w:t>
      </w:r>
      <w:smartTag w:uri="urn:schemas-microsoft-com:office:smarttags" w:element="PersonName">
        <w:smartTagPr>
          <w:attr w:name="ProductID" w:val="la Superintendente Delegada"/>
        </w:smartTagPr>
        <w:r w:rsidRPr="00AA1B50">
          <w:rPr>
            <w:rFonts w:ascii="Arial" w:hAnsi="Arial" w:cs="Arial"/>
            <w:sz w:val="24"/>
            <w:szCs w:val="24"/>
          </w:rPr>
          <w:t>la Superintendente Delegada</w:t>
        </w:r>
      </w:smartTag>
      <w:r w:rsidRPr="00AA1B50">
        <w:rPr>
          <w:rFonts w:ascii="Arial" w:hAnsi="Arial" w:cs="Arial"/>
          <w:sz w:val="24"/>
          <w:szCs w:val="24"/>
        </w:rPr>
        <w:t xml:space="preserve"> para Entidades Administradoras de Pensiones y Cesantías. A título de restablecimiento del derecho solicita se reversen los asientos contables que registraron la totalidad de los costos y gastos financieros incurridos por el Fideicomiso Impsa-Foster-Eiffel en el Estado de Pérdidas y Ganancias de la sociedad en el año 2002 y se restituya la cuenta de Cargos Diferidos hasta la fecha de enajenación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de Gases Licuados a ECOPETROL.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El diferimiento de los intereses y de la pérdida en cambio que ha venido registrando el fideicomiso no viola el artículo 64 del Decreto 2649 de 1993 ni el Plan Único de Cuentas Grupo 18 – Propiedades, Planta y Equipo, en cambio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se negó a analizar la naturaleza del contrato suscrito entre el Fideicomiso IMPSA – FOSTER - EIFFEL y ECOPETROL bajo </w:t>
      </w:r>
      <w:smartTag w:uri="urn:schemas-microsoft-com:office:smarttags" w:element="PersonName">
        <w:smartTagPr>
          <w:attr w:name="ProductID" w:val="la modalidad APT"/>
        </w:smartTagPr>
        <w:r w:rsidRPr="00AA1B50">
          <w:rPr>
            <w:rFonts w:ascii="Arial" w:hAnsi="Arial" w:cs="Arial"/>
            <w:sz w:val="24"/>
            <w:szCs w:val="24"/>
          </w:rPr>
          <w:t>la modalidad APT</w:t>
        </w:r>
      </w:smartTag>
      <w:r w:rsidRPr="00AA1B50">
        <w:rPr>
          <w:rFonts w:ascii="Arial" w:hAnsi="Arial" w:cs="Arial"/>
          <w:sz w:val="24"/>
          <w:szCs w:val="24"/>
        </w:rPr>
        <w:t xml:space="preserve"> – Arrendamiento, Promesa de Compraventa y Transferencia.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para el procesamiento del gas licuado que construyó el Patrimonio Autónomo estaba destinada “para la venta en el curso normal de los negocios” en los términos del artículo 64 del Decreto 2649 de 1993.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En la medida en que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no califica como propiedad, planta y equipo según el artículo 64 del Decreto 2649 de 1993, el tratamiento de los costos y gastos financieros en que se incurrió para su adquisición, no está sujeto a los parámetros de tal norma ni a lo señalado para el grupo 18 del Plan Único de Cuentas de </w:t>
      </w:r>
      <w:smartTag w:uri="urn:schemas-microsoft-com:office:smarttags" w:element="PersonName">
        <w:smartTagPr>
          <w:attr w:name="ProductID" w:val="la Superintendencia Bancaria. Los"/>
        </w:smartTagP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Los</w:t>
        </w:r>
      </w:smartTag>
      <w:r w:rsidRPr="00AA1B50">
        <w:rPr>
          <w:rFonts w:ascii="Arial" w:hAnsi="Arial" w:cs="Arial"/>
          <w:sz w:val="24"/>
          <w:szCs w:val="24"/>
        </w:rPr>
        <w:t xml:space="preserve"> intereses que </w:t>
      </w:r>
      <w:proofErr w:type="gramStart"/>
      <w:r w:rsidRPr="00AA1B50">
        <w:rPr>
          <w:rFonts w:ascii="Arial" w:hAnsi="Arial" w:cs="Arial"/>
          <w:sz w:val="24"/>
          <w:szCs w:val="24"/>
        </w:rPr>
        <w:t>pagó</w:t>
      </w:r>
      <w:proofErr w:type="gramEnd"/>
      <w:r w:rsidRPr="00AA1B50">
        <w:rPr>
          <w:rFonts w:ascii="Arial" w:hAnsi="Arial" w:cs="Arial"/>
          <w:sz w:val="24"/>
          <w:szCs w:val="24"/>
        </w:rPr>
        <w:t xml:space="preserve"> el fideicomiso a partir de la fecha en que se terminó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y la pérdida en cambio que ha venido generando el pasivo en dólares americanos, constituyen erogaciones encaminadas a la obtención de los ingresos que se derivan de la venta de </w:t>
      </w:r>
      <w:smartTag w:uri="urn:schemas-microsoft-com:office:smarttags" w:element="PersonName">
        <w:smartTagPr>
          <w:attr w:name="ProductID" w:val="la Estaci￳n. De"/>
        </w:smartTagPr>
        <w:r w:rsidRPr="00AA1B50">
          <w:rPr>
            <w:rFonts w:ascii="Arial" w:hAnsi="Arial" w:cs="Arial"/>
            <w:sz w:val="24"/>
            <w:szCs w:val="24"/>
          </w:rPr>
          <w:t>la Estación. De</w:t>
        </w:r>
      </w:smartTag>
      <w:r w:rsidRPr="00AA1B50">
        <w:rPr>
          <w:rFonts w:ascii="Arial" w:hAnsi="Arial" w:cs="Arial"/>
          <w:sz w:val="24"/>
          <w:szCs w:val="24"/>
        </w:rPr>
        <w:t xml:space="preserve"> hecho la adquisición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por parte de ECOPETROL fue desde el inicio del proyecto el fin último del contrato y la </w:t>
      </w:r>
      <w:r w:rsidRPr="00AA1B50">
        <w:rPr>
          <w:rFonts w:ascii="Arial" w:hAnsi="Arial" w:cs="Arial"/>
          <w:sz w:val="24"/>
          <w:szCs w:val="24"/>
        </w:rPr>
        <w:lastRenderedPageBreak/>
        <w:t>totalidad de los costos y gastos de financiación se incurrieron, no con el objeto de construirla para arrendarla sino con el objeto de construirla, arrendarla durante una etapa interina y traspasar la propiedad de la misma a ECOPETROL a cambio de un precio que constituye el beneficio económico futuro contra el cual se deben amortizar los cargos diferidos.</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Obligar al fideicomiso a generar una pérdida contable desproporcionada con la amortización de los costos y gastos por intereses y por diferencia en cambio que ha generado la financiación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contra los ingresos que se han causado a la fecha por arrendamiento de la misma constituye una violación de los siguientes artículos del Decreto 2649 de 1993: el 4° que consagra el Principio de Representación Económica en cuanto a que las providencias de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desconocen la viabilidad del proyecto. La pérdida que se deriva de la amortización de los costos y gastos financieros que pretende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no refleja en absoluto el estado financiero del patrimonio autónomo ni la capacidad del mismo para responder por sus obligaciones en el exterior; el 13 en cuanto constituye una amortización anticipada de costos y gastos que tienen relación de causalidad directa con la obtención del precio de venta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ya que tales costos y gastos deben asociarse con los ingresos que generan. El artículo 67 en cuanto establece la obligación de diferir los intereses y otros gastos incurridos con el objeto de recibir beneficios futuros hasta la fecha en que se obtengan estos últimos. El 18 en cuanto establece que la contabilidad se debe diseñar teniendo en cuenta las limitaciones razonablemente impuestas por las características y prácticas de cada actividad, tales como la naturaleza de las operaciones, su ubicación geográfica, su desarrollo social, económico y tecnológico.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Igualmente acusa que también se violan el artículo 136 ibídem en cuanto consagra la prevalencia de las normas fiscales sobre las contables y el artículo 201 del Estatuto Tributario permite diferir los costos y deducciones efectivamente incurridos, hasta la realización de los ingresos a los cuales proporcionalmente corresponden. Los contratos de servicios y de obra son precisamente tipos de contratos de servicios autónomos al tenor del artículo 201 del E.T. y precisamente ese tipo de contratos atípicos, no fueron analizados en los actos demandados y son los que dan la posibilidad de diferir los costos y deducciones efectivamente incurridos, hasta la realización de los ingresos a los cuales proporcionalmente corresponden.</w:t>
      </w:r>
    </w:p>
    <w:p w:rsidR="008252F6" w:rsidRPr="00AA1B50" w:rsidRDefault="008252F6" w:rsidP="008252F6">
      <w:pPr>
        <w:pStyle w:val="Ttulo5"/>
        <w:spacing w:before="0"/>
        <w:jc w:val="center"/>
        <w:rPr>
          <w:rFonts w:ascii="Arial" w:hAnsi="Arial" w:cs="Arial"/>
          <w:b/>
          <w:sz w:val="24"/>
          <w:szCs w:val="24"/>
        </w:rPr>
      </w:pPr>
      <w:r w:rsidRPr="00AA1B50">
        <w:rPr>
          <w:rFonts w:ascii="Arial" w:hAnsi="Arial" w:cs="Arial"/>
          <w:b/>
          <w:sz w:val="24"/>
          <w:szCs w:val="24"/>
        </w:rPr>
        <w:t xml:space="preserve">CONTESTACIÓN DE </w:t>
      </w:r>
      <w:smartTag w:uri="urn:schemas-microsoft-com:office:smarttags" w:element="PersonName">
        <w:smartTagPr>
          <w:attr w:name="ProductID" w:val="LA DEMANDA"/>
        </w:smartTagPr>
        <w:r w:rsidRPr="00AA1B50">
          <w:rPr>
            <w:rFonts w:ascii="Arial" w:hAnsi="Arial" w:cs="Arial"/>
            <w:b/>
            <w:sz w:val="24"/>
            <w:szCs w:val="24"/>
          </w:rPr>
          <w:t>LA DEMANDA</w:t>
        </w:r>
      </w:smartTag>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both"/>
        <w:rPr>
          <w:rFonts w:ascii="Arial" w:hAnsi="Arial" w:cs="Arial"/>
          <w:sz w:val="24"/>
          <w:szCs w:val="24"/>
        </w:rPr>
      </w:pP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se opuso a las pretensiones de la demanda, afirmando que es claro que </w:t>
      </w:r>
      <w:smartTag w:uri="urn:schemas-microsoft-com:office:smarttags" w:element="PersonName">
        <w:smartTagPr>
          <w:attr w:name="ProductID" w:val="la mencionada Estaci￳n"/>
        </w:smartTagPr>
        <w:r w:rsidRPr="00AA1B50">
          <w:rPr>
            <w:rFonts w:ascii="Arial" w:hAnsi="Arial" w:cs="Arial"/>
            <w:sz w:val="24"/>
            <w:szCs w:val="24"/>
          </w:rPr>
          <w:t>la mencionada Estación</w:t>
        </w:r>
      </w:smartTag>
      <w:r w:rsidRPr="00AA1B50">
        <w:rPr>
          <w:rFonts w:ascii="Arial" w:hAnsi="Arial" w:cs="Arial"/>
          <w:sz w:val="24"/>
          <w:szCs w:val="24"/>
        </w:rPr>
        <w:t xml:space="preserve"> (activo tangible) se destinaría a ser arrendada durante el lapso de siete años, por tanto es equivocado y acomodaticio que la actora diga que la prestación principal del contrato celebrado entre ECOPETROL y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no hubiera sido el contrato de arrendamiento sino el de venta, que ni siquiera a la fecha de la contestación había tenido lugar y en la medida que esa prestación principal no ha sucedido, tampoco se ha concretado el beneficio económico que constituye el objeto principal.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Así las cosas, contrariamente a lo afirmado por </w:t>
      </w:r>
      <w:smartTag w:uri="urn:schemas-microsoft-com:office:smarttags" w:element="PersonName">
        <w:smartTagPr>
          <w:attr w:name="ProductID" w:val="la Fiduciaria"/>
        </w:smartTagPr>
        <w:r w:rsidRPr="00AA1B50">
          <w:rPr>
            <w:rFonts w:ascii="Arial" w:hAnsi="Arial" w:cs="Arial"/>
            <w:sz w:val="24"/>
            <w:szCs w:val="24"/>
          </w:rPr>
          <w:t>la Fiduciaria</w:t>
        </w:r>
      </w:smartTag>
      <w:r w:rsidRPr="00AA1B50">
        <w:rPr>
          <w:rFonts w:ascii="Arial" w:hAnsi="Arial" w:cs="Arial"/>
          <w:sz w:val="24"/>
          <w:szCs w:val="24"/>
        </w:rPr>
        <w:t xml:space="preserve">, es claro que al ser un activo construído con la intención de ser arrendado, para atender el cronograma del negocio diseñado entre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y ECOPETROL, en cumplimiento del contrato de arrendamiento,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sí califica como propiedad, planta y equipo y por tanto el tratamiento de los costos y gastos en que se incurrió para su adquisición está sujeto a lo que sobre el particular determinan el artículo 64 del Decreto 2649 de 1993 y el Grupo 18 del Plan Unico de Cuentas de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Como los actos demandados gozan de la presunción de legalidad, se invierte la carga de la prueba correspondiéndole al demandante conforme a los artículos 176 y 177 del C.P.C. </w:t>
      </w:r>
      <w:smartTag w:uri="urn:schemas-microsoft-com:office:smarttags" w:element="PersonName">
        <w:smartTagPr>
          <w:attr w:name="ProductID" w:val="La Revisor￭a Fiscal"/>
        </w:smartTagPr>
        <w:r w:rsidRPr="00AA1B50">
          <w:rPr>
            <w:rFonts w:ascii="Arial" w:hAnsi="Arial" w:cs="Arial"/>
            <w:sz w:val="24"/>
            <w:szCs w:val="24"/>
          </w:rPr>
          <w:t>La Revisoría Fiscal</w:t>
        </w:r>
      </w:smartTag>
      <w:r w:rsidRPr="00AA1B50">
        <w:rPr>
          <w:rFonts w:ascii="Arial" w:hAnsi="Arial" w:cs="Arial"/>
          <w:sz w:val="24"/>
          <w:szCs w:val="24"/>
        </w:rPr>
        <w:t xml:space="preserve"> desempeña un papel de especial trascendencia en la actividad de las sociedades comerciales y en especial de las vigiladas por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comoquiera que es uno de los instrumentos a través de los cuales se ejerce el control y vigilancia, para lo cual se le ha dotado de instrumentos idóneos que le permiten velar por el cumplimiento de las leyes y de los estatutos sociales, y a la vez dar fé pública. En ese sentido, un antecedente de trascendental importancia por tener en cuenta en este proceso, es el cuestionamiento efectuado por el revisor fiscal de la demandante al tratamiento contable que venía aplicando al fideicomiso.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Sobre la violación del artículo 64 del decreto 2649 de 1993, asevera que aunque la enajenación definitiva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no ha tenido lugar, se viene adelantando la segunda etapa del contrato que corresponde al contrato de arrendamiento, cuya ejecución ha generado ingresos al Fideicomiso. Los costos de esos ingresos deben reconocerse en el estado de resultados en el momento en que se causen, en aplicación del artículo 13 del Decreto 2649 de 1993. Lo que quiere decir que no era necesario aguardar al arribo de la enajenación definitiva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(marzo 2004) para ordenar la regularización de la contabilidad de un fideicomiso – Patrimonio Autónomo que venían generando ingresos, representados en los cánones de arrendamiento, desde agosto de 1997, cuando se concluyó la obra y no obstante, se diferían los costos y gastos, entre ellos las diferencias en cambio, cuando lo legal era tratarlos como un gasto y hacer que se reflejaran en el estado de resultados, en la medida en que se fueran causando.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Tales exigencias contables son propias del contrato cuya ejecución ocasionó la generación de ingresos (contra los cuales se deben cruzar los costos) que no es otro que el arrendamiento, cuyos efectos se extienden hasta marzo de 2004, cuando debe tener lugar la enajenación definitiva de la Estación, evento éste último que en la medida en que no se ha producido, no pudo ser el que generara tales ingresos, materia de asociación con los costos y gastos. En definitiva, bastaba la verificación de un contrato que, como el de arrendamiento, generara ingresos que, sin consideración a otro contrato cuyo perfeccionamiento no ha tenido lugar,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ordenara la regularización de la contabilidad del fideicomiso.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lastRenderedPageBreak/>
        <w:t xml:space="preserve">En la medida en que el proyecto generó ingresos a partir de las rentas que reciba el Patrimonio Autónomo, producto de la ejecución del contrato de arrendamiento, se concluye que en los términos del artículo 64 del Decreto 2649 de 1993, </w:t>
      </w:r>
      <w:smartTag w:uri="urn:schemas-microsoft-com:office:smarttags" w:element="PersonName">
        <w:smartTagPr>
          <w:attr w:name="ProductID" w:val="la mencionada Estaci￳n"/>
        </w:smartTagPr>
        <w:r w:rsidRPr="00AA1B50">
          <w:rPr>
            <w:rFonts w:ascii="Arial" w:hAnsi="Arial" w:cs="Arial"/>
            <w:sz w:val="24"/>
            <w:szCs w:val="24"/>
          </w:rPr>
          <w:t>la mencionada Estación</w:t>
        </w:r>
      </w:smartTag>
      <w:r w:rsidRPr="00AA1B50">
        <w:rPr>
          <w:rFonts w:ascii="Arial" w:hAnsi="Arial" w:cs="Arial"/>
          <w:sz w:val="24"/>
          <w:szCs w:val="24"/>
        </w:rPr>
        <w:t xml:space="preserve"> califica como Propiedad, Planta y Equipo. Conforme a tal norma, se concluye que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estaba destinada a ser arrendada, y en la medida en que como producto del contrato se generarían ingresos para el Patrimonio Autónomo, los costos en que se incurriera para generarlos debían ser materia de regularización conforme a las normas vigentes. Tal conclusión no se desvirtúa porque en la programación del negocio celebrado entre ECOPETROL y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se hubiera previsto una enajenación definitiva, aún no concretada, pues lo cierto es que, ocurrido el hecho que ocasionó el ingreso, el tratamiento de los costos como gastos se tornaba imprescindible, so pena de violar la ley.</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Conforme a la descripción del Grupo 18 del Plan Único de Cuentas de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no es viable registrar la diferencia en cambio y los intereses originados en obligaciones contraídas para financiar la construcción de propiedades, planta y equipo, como bienes recibidos en pago y otros activos, una vez terminada la construcción del proyecto objeto de contabilización, como lo hace la demandante en el Fideicomiso IMPSA-FWA por cuanto la obra y los equipos, ya se están utilizando y generando ingresos.</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Al contabilizar los costos de la obra como diferidos, y no como gastos, como debía ser, fue la propia demandante quien desatendió el Principio de Representación Económica, pues hizo caso omiso del ingreso permanente de recursos al Patrimonio Autónomo por cuenta del contrato de arrendamiento, ingresos que, de conformidad con lo prescrito por el artículo 13 del Decreto 2649 de 1993 que inexplicablemente señala la actora como violado, deben asociarse con los costos para obtenerlos, lo que genera necesariamente una afectación de la cuenta de resultados. En consecuencia mal pueden contabilizarse como diferidos, so pena de violar el mencionado Principio de Representación, unos costos que deben cruzarse con los ingresos que ya se están generando como consecuencia de los cánones que desde agosto de 1997 abona ECOPETROL al patrimonio autónomo.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center"/>
        <w:rPr>
          <w:rFonts w:ascii="Arial" w:hAnsi="Arial" w:cs="Arial"/>
          <w:b/>
          <w:sz w:val="24"/>
          <w:szCs w:val="24"/>
        </w:rPr>
      </w:pPr>
      <w:smartTag w:uri="urn:schemas-microsoft-com:office:smarttags" w:element="PersonName">
        <w:smartTagPr>
          <w:attr w:name="ProductID" w:val="LA  SENTENCIA APELADA"/>
        </w:smartTagPr>
        <w:r w:rsidRPr="00AA1B50">
          <w:rPr>
            <w:rFonts w:ascii="Arial" w:hAnsi="Arial" w:cs="Arial"/>
            <w:b/>
            <w:sz w:val="24"/>
            <w:szCs w:val="24"/>
          </w:rPr>
          <w:t>LA  SENTENCIA APELADA</w:t>
        </w:r>
      </w:smartTag>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El Tribunal Administrativo de Cundinamarca denegó las súplicas de la demanda bajo las siguientes consideraciones: así como existen normas que regulan la actividad y ejercicio de las entidades financieras, también el ordenamiento jurídico contiene disposiciones que regulan el ejercicio de las atribuciones de supervisión y vigilancia por parte de las entidades estatales de control legalmente instituídas. Así es como el artículo 326 del Estatuto Orgánico del Sistema Financiero (EOSF) enumera las funciones y facultades de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(hoy Superfinanciera).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lastRenderedPageBreak/>
        <w:t xml:space="preserve">Por la connotación y naturaleza de las funciones que desempeñan los revisores fiscales y por la fe pública que dan respecto del tratamiento contable que otorga cada sociedad mercantil a sus movimientos financieros, se presume que los actos por ellos emitidos se ajustan a los requisitos legales y cuentan con una veracidad que conduce a que el Estado y en particular </w:t>
      </w:r>
      <w:smartTag w:uri="urn:schemas-microsoft-com:office:smarttags" w:element="PersonName">
        <w:smartTagPr>
          <w:attr w:name="ProductID" w:val="la Superbancaria"/>
        </w:smartTagPr>
        <w:r w:rsidRPr="00AA1B50">
          <w:rPr>
            <w:rFonts w:ascii="Arial" w:hAnsi="Arial" w:cs="Arial"/>
            <w:sz w:val="24"/>
            <w:szCs w:val="24"/>
          </w:rPr>
          <w:t>la Superbancaria</w:t>
        </w:r>
      </w:smartTag>
      <w:r w:rsidRPr="00AA1B50">
        <w:rPr>
          <w:rFonts w:ascii="Arial" w:hAnsi="Arial" w:cs="Arial"/>
          <w:sz w:val="24"/>
          <w:szCs w:val="24"/>
        </w:rPr>
        <w:t xml:space="preserve"> base sus decisiones en tales conceptos y actos. En ese contexto, el antecedente de la decisión emitida por </w:t>
      </w:r>
      <w:smartTag w:uri="urn:schemas-microsoft-com:office:smarttags" w:element="PersonName">
        <w:smartTagPr>
          <w:attr w:name="ProductID" w:val="la Superbancaria"/>
        </w:smartTagPr>
        <w:r w:rsidRPr="00AA1B50">
          <w:rPr>
            <w:rFonts w:ascii="Arial" w:hAnsi="Arial" w:cs="Arial"/>
            <w:sz w:val="24"/>
            <w:szCs w:val="24"/>
          </w:rPr>
          <w:t>la Superbancaria</w:t>
        </w:r>
      </w:smartTag>
      <w:r w:rsidRPr="00AA1B50">
        <w:rPr>
          <w:rFonts w:ascii="Arial" w:hAnsi="Arial" w:cs="Arial"/>
          <w:sz w:val="24"/>
          <w:szCs w:val="24"/>
        </w:rPr>
        <w:t>, es el concepto emitido por el revisor fiscal de Lloyds Trust S.A. que por su naturaleza y funciones, es quien mejor conoce los movimientos y el tratamiento contable que le da dicha sociedad a su actividad mercantil.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Para el caso concreto, el artículo 55 del Decreto 2649 de 1993 preceptúa que deben contabilizarse como diferidos los ingresos hasta que la obligación esté satisfecha y los gastos hasta que el correspondiente beneficio económico esté consumido o perdido, de manera que no pueden contabilizarse como diferidos los costos que deban cruzarse con los ingresos que ya se están generando como consecuencia de algún otro ingreso. Dicho de otra manera, para el caso concreto, el contrato de arrendamiento estaba generando unos ingresos, llamados cánones de arrendamiento, los cuales por ser el registro de un hecho económico ya realizado o presente no podían ser diferidos ni incluídos en ninguna cuenta de esa naturaleza; de igual manera no es viable registrar sobre dicho contrato diferencias de cambios, por cuanto los bienes objeto de anotación contable ya se están utilizando y no son una expectativa.</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No hubo desconocimiento del principio de representación económica, por cuanto fue la sociedad demandante la que hizo caso omiso del ingreso permanente de recursos al patrimonio autónomo por cuenta del contrato de arrendamiento, ingresos estos que de conformidad con el artículo 13 del Decreto 2649 de 1993, deben asociarse con los costos para obtenerlos, lo que genera una afectación en la cuenta de resultados. Bajo esa óptica es claro que si existen unos ingresos, las anotaciones efectuadas deben asociarse con los costos que estos generan y no registrarlos como diferidos, lo cual puede ocasionar un desequilibrio contable y, por ende, afectación en los estados de resultado.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trasgresión del principio de representación económica se observa en el hecho de contabilizar un ajuste por inflación como corrección monetaria diferida crédito, sin considerar que las propiedades planta y equipo del proyecto ya estaban generando ingresos, lo cual constituye una violación del artículo 73 del Decreto 2649 de 1993. Concluye en este punto que los registros contables efectuados por </w:t>
      </w:r>
      <w:smartTag w:uri="urn:schemas-microsoft-com:office:smarttags" w:element="PersonName">
        <w:smartTagPr>
          <w:attr w:name="ProductID" w:val="la sociedad Lloyds Trust"/>
        </w:smartTagPr>
        <w:smartTag w:uri="urn:schemas-microsoft-com:office:smarttags" w:element="PersonName">
          <w:smartTagPr>
            <w:attr w:name="ProductID" w:val="la sociedad Lloyds"/>
          </w:smartTagPr>
          <w:r w:rsidRPr="00AA1B50">
            <w:rPr>
              <w:rFonts w:ascii="Arial" w:hAnsi="Arial" w:cs="Arial"/>
              <w:sz w:val="24"/>
              <w:szCs w:val="24"/>
            </w:rPr>
            <w:t>la sociedad Lloyds</w:t>
          </w:r>
        </w:smartTag>
        <w:r w:rsidRPr="00AA1B50">
          <w:rPr>
            <w:rFonts w:ascii="Arial" w:hAnsi="Arial" w:cs="Arial"/>
            <w:sz w:val="24"/>
            <w:szCs w:val="24"/>
          </w:rPr>
          <w:t xml:space="preserve"> Trust</w:t>
        </w:r>
      </w:smartTag>
      <w:r w:rsidRPr="00AA1B50">
        <w:rPr>
          <w:rFonts w:ascii="Arial" w:hAnsi="Arial" w:cs="Arial"/>
          <w:sz w:val="24"/>
          <w:szCs w:val="24"/>
        </w:rPr>
        <w:t xml:space="preserve"> S.A. respecto del fideicomiso Impsa-FWA eran ajenos a las disposiciones que regulan la materia contable, esto es el Decreto 2649 de 1993 y normas concordantes, lo que lleva a concluir que era dicha sociedad quien estaba incurriendo en la violación de las normas que ahora acusa como transgredidas.</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actora interpreta de manera equivocada el artículo 136 del Decreto 2649 de 1993 toda vez que esta disposición es clara en preceptuar que la prevalencia </w:t>
      </w:r>
      <w:r w:rsidRPr="00AA1B50">
        <w:rPr>
          <w:rFonts w:ascii="Arial" w:hAnsi="Arial" w:cs="Arial"/>
          <w:sz w:val="24"/>
          <w:szCs w:val="24"/>
        </w:rPr>
        <w:lastRenderedPageBreak/>
        <w:t xml:space="preserve">de las normas de naturaleza tributaria respecto de las contenidas en el Decreto 2649 de 1993, sólo tiene lugar para fines fiscales, y bajo la premisa de que exista incompatibilidad entre ellas, circunstancia ésta que, no es precisamente la que acontece en el asunto objeto de juzgamiento.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center"/>
        <w:rPr>
          <w:rFonts w:ascii="Arial" w:hAnsi="Arial" w:cs="Arial"/>
          <w:b/>
          <w:sz w:val="24"/>
          <w:szCs w:val="24"/>
        </w:rPr>
      </w:pPr>
      <w:r w:rsidRPr="00AA1B50">
        <w:rPr>
          <w:rFonts w:ascii="Arial" w:hAnsi="Arial" w:cs="Arial"/>
          <w:b/>
          <w:sz w:val="24"/>
          <w:szCs w:val="24"/>
        </w:rPr>
        <w:t>RECURSO DE APELACIÓN</w:t>
      </w:r>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parte demandante señala que los actos administrativos demandados desconocen el artículo 13 del Decreto 2649 de 1993, porque solo cuando una partida no se pueda asociar con un ingreso, costo o gasto y se concluya que no generará beneficios o sacrificios, se debe registrar en las cuentas de resultados. Cuando el Tribunal aduce que no pueden contabilizarse como diferidos los costos “que deban cruzarse con los ingresos que ya se están generando como consecuencia de algún otro ingreso” no hace más que confirmar la amortización de los costos que deban cruzarse con los arrendamientos, que son los proporcionales a los mismos y no la totalidad de los desembolsos incurridos en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que se iba a vender.</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La sentencia del Tribunal confirma los actos administrativos pero no analiza la violación de las disposiciones de ley que contiene el estatuto contable. Los principios que sustentan la amortización de los costos y gastos contra los cánones de arrendamiento y el diferimiento del saldo hasta la fecha de causación del precio de venta son los señalados en los artículos 12 (realización económica), 13 (asociación) y 55 (diferimiento de costos y gastos) del decreto 2649 de 1993.</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El principio de realización económica se opone a la orden que dio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en el sentido de generar una pérdida económica absolutamente artificial, no comprobable, que desconocía el hecho de que los costos y gastos incurridos iban a ser enjugados con el precio de venta de </w:t>
      </w:r>
      <w:smartTag w:uri="urn:schemas-microsoft-com:office:smarttags" w:element="PersonName">
        <w:smartTagPr>
          <w:attr w:name="ProductID" w:val="la Estaci￳n. En"/>
        </w:smartTagPr>
        <w:r w:rsidRPr="00AA1B50">
          <w:rPr>
            <w:rFonts w:ascii="Arial" w:hAnsi="Arial" w:cs="Arial"/>
            <w:sz w:val="24"/>
            <w:szCs w:val="24"/>
          </w:rPr>
          <w:t>la Estación. En</w:t>
        </w:r>
      </w:smartTag>
      <w:r w:rsidRPr="00AA1B50">
        <w:rPr>
          <w:rFonts w:ascii="Arial" w:hAnsi="Arial" w:cs="Arial"/>
          <w:sz w:val="24"/>
          <w:szCs w:val="24"/>
        </w:rPr>
        <w:t xml:space="preserve"> cuanto al principio de asociación, la orden de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de amortizar los costos y gastos antes de la causación del precio de venta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desconoció que existía una apropiación presupuestal para el pago del mismo y una promesa de venta que obligaba a ECOPETROL a pagarlo.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center"/>
        <w:rPr>
          <w:rFonts w:ascii="Arial" w:hAnsi="Arial" w:cs="Arial"/>
          <w:b/>
          <w:sz w:val="24"/>
          <w:szCs w:val="24"/>
        </w:rPr>
      </w:pPr>
      <w:r w:rsidRPr="00AA1B50">
        <w:rPr>
          <w:rFonts w:ascii="Arial" w:hAnsi="Arial" w:cs="Arial"/>
          <w:b/>
          <w:sz w:val="24"/>
          <w:szCs w:val="24"/>
        </w:rPr>
        <w:t>ALEGATOS  DE CONCLUSIÓN</w:t>
      </w:r>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w:t>
      </w:r>
      <w:r w:rsidRPr="00AA1B50">
        <w:rPr>
          <w:rFonts w:ascii="Arial" w:hAnsi="Arial" w:cs="Arial"/>
          <w:b/>
          <w:sz w:val="24"/>
          <w:szCs w:val="24"/>
        </w:rPr>
        <w:t>parte demandante</w:t>
      </w:r>
      <w:r w:rsidRPr="00AA1B50">
        <w:rPr>
          <w:rFonts w:ascii="Arial" w:hAnsi="Arial" w:cs="Arial"/>
          <w:sz w:val="24"/>
          <w:szCs w:val="24"/>
        </w:rPr>
        <w:t xml:space="preserve"> afirma que la sentencia del Tribunal confirmó el acto administrativo porque así lo dijo el revisor fiscal, olvidando lo que había expresado </w:t>
      </w:r>
      <w:smartTag w:uri="urn:schemas-microsoft-com:office:smarttags" w:element="PersonName">
        <w:smartTagPr>
          <w:attr w:name="ProductID" w:val="la firma Arthur Andersen"/>
        </w:smartTagPr>
        <w:smartTag w:uri="urn:schemas-microsoft-com:office:smarttags" w:element="PersonName">
          <w:smartTagPr>
            <w:attr w:name="ProductID" w:val="la firma Arthur"/>
          </w:smartTagPr>
          <w:r w:rsidRPr="00AA1B50">
            <w:rPr>
              <w:rFonts w:ascii="Arial" w:hAnsi="Arial" w:cs="Arial"/>
              <w:sz w:val="24"/>
              <w:szCs w:val="24"/>
            </w:rPr>
            <w:t>la firma Arthur</w:t>
          </w:r>
        </w:smartTag>
        <w:r w:rsidRPr="00AA1B50">
          <w:rPr>
            <w:rFonts w:ascii="Arial" w:hAnsi="Arial" w:cs="Arial"/>
            <w:sz w:val="24"/>
            <w:szCs w:val="24"/>
          </w:rPr>
          <w:t xml:space="preserve"> Andersen</w:t>
        </w:r>
      </w:smartTag>
      <w:r w:rsidRPr="00AA1B50">
        <w:rPr>
          <w:rFonts w:ascii="Arial" w:hAnsi="Arial" w:cs="Arial"/>
          <w:sz w:val="24"/>
          <w:szCs w:val="24"/>
        </w:rPr>
        <w:t xml:space="preserve"> (anterior revisor fiscal) quien certificó el manejo contable sin ningún tipo de salvedad. El fallo es nulo porque no se pronuncia sobre las razones técnicas que justificarían desconocer los principios contables de la realidad económica y la asociación de costos y gastos que consagra el Decreto 2649 de 1993.</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lastRenderedPageBreak/>
        <w:t xml:space="preserve">Los escritos de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se limitaron a defender a ultranza la posición del revisor fiscal que glosó los estados financieros sin consideración a la naturaleza del negocio que manejaba el fideicomiso ni a las disposiciones contables vigentes.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aduce que los costos y gastos financieros sólo se pueden capitalizar hasta cuando el activo entra en condiciones de utilización y se abstiene de analizar el Principio de Asociación que requiere que los costos y gastos se difieran hasta cuando se causen los ingresos que se generan con las erogaciones. Ni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ni el Tribunal explican por qué habría que llevar al Estado de Pérdidas y Ganancias la totalidad de los costos y gastos incurridos en la construcción de un inmueble prometido en venta, antes de que se cause el precio de venta. Tampoco dan razón de por qué obligar a una entidad que no esté captando recursos de ningún tipo dentro del mercado nacional, a realizar una pérdida ficticia enorme, aun cuando las operaciones que la componen fueron financiadas en el exterior.</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w:t>
      </w:r>
      <w:r w:rsidRPr="00AA1B50">
        <w:rPr>
          <w:rFonts w:ascii="Arial" w:hAnsi="Arial" w:cs="Arial"/>
          <w:b/>
          <w:sz w:val="24"/>
          <w:szCs w:val="24"/>
        </w:rPr>
        <w:t>parte demandada</w:t>
      </w:r>
      <w:r w:rsidRPr="00AA1B50">
        <w:rPr>
          <w:rFonts w:ascii="Arial" w:hAnsi="Arial" w:cs="Arial"/>
          <w:sz w:val="24"/>
          <w:szCs w:val="24"/>
        </w:rPr>
        <w:t xml:space="preserve"> hace un recuento de la fuente constitucional y legal de la facultad de instrucción asignada a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desde el Acto Legislativo 1 de 1968 hasta el Decreto 663 de 1993 conocido como el Estatuto Orgánico del Sistema Financiero en cuyo literal a) numeral 3 del artículo 326 incorporó la facultad de regulación de </w:t>
      </w:r>
      <w:smartTag w:uri="urn:schemas-microsoft-com:office:smarttags" w:element="PersonName">
        <w:smartTagPr>
          <w:attr w:name="ProductID" w:val="la Superintendencia Bancaria. Las"/>
        </w:smartTagP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Las</w:t>
        </w:r>
      </w:smartTag>
      <w:r w:rsidRPr="00AA1B50">
        <w:rPr>
          <w:rFonts w:ascii="Arial" w:hAnsi="Arial" w:cs="Arial"/>
          <w:sz w:val="24"/>
          <w:szCs w:val="24"/>
        </w:rPr>
        <w:t xml:space="preserve"> funciones de regulación contable fueron contempladas en el literal b) del numeral 3 del mismo artículo, modificada por los artículos 37 y 38 de la ley 510 de 1999.</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Una vez finalizada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y habiendo quedado los bienes en condiciones de utilización o venta, los costos incurridos por concepto de intereses y diferencia en cambio debían ser reconocidos en el estado de resultados en el momento en que se causaran, tal como lo establecen el Decreto 2649 de 1993 y el Plan Unico de Cuentas – PUC, es decir la diferencia en cambio y los intereses originados en las obligaciones contraídas para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una vez concluida la misma  no se debían diferir, pues tales conceptos constituyen gasto. Por ello cabe concluir que aunque la enajenación definitiva no había tenido lugar en la época en que se expidieron los actos administrativos, a partir de la terminación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o sea desde agosto de 1997, se venía adelantando la segunda etapa del proyecto, esto es, la correspondiente al contrato de arrendamiento cuya ejecución, estaba generando ingresos. En ese orden de ideas, los costos de esos ingresos debían reconocerse en el estado de resultados en el momento en que se causaron en aplicación de lo dispuesto en el artículo 13 del Decreto 2649 de 1993.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El </w:t>
      </w:r>
      <w:r w:rsidRPr="00AA1B50">
        <w:rPr>
          <w:rFonts w:ascii="Arial" w:hAnsi="Arial" w:cs="Arial"/>
          <w:b/>
          <w:sz w:val="24"/>
          <w:szCs w:val="24"/>
        </w:rPr>
        <w:t>Ministerio Público</w:t>
      </w:r>
      <w:r w:rsidRPr="00AA1B50">
        <w:rPr>
          <w:rFonts w:ascii="Arial" w:hAnsi="Arial" w:cs="Arial"/>
          <w:sz w:val="24"/>
          <w:szCs w:val="24"/>
        </w:rPr>
        <w:t xml:space="preserve"> al rendir su concepto a través de </w:t>
      </w:r>
      <w:smartTag w:uri="urn:schemas-microsoft-com:office:smarttags" w:element="PersonName">
        <w:smartTagPr>
          <w:attr w:name="ProductID" w:val="la Procuradora Sexta Delegada"/>
        </w:smartTagPr>
        <w:smartTag w:uri="urn:schemas-microsoft-com:office:smarttags" w:element="PersonName">
          <w:smartTagPr>
            <w:attr w:name="ProductID" w:val="la Procuradora Sexta"/>
          </w:smartTagPr>
          <w:r w:rsidRPr="00AA1B50">
            <w:rPr>
              <w:rFonts w:ascii="Arial" w:hAnsi="Arial" w:cs="Arial"/>
              <w:sz w:val="24"/>
              <w:szCs w:val="24"/>
            </w:rPr>
            <w:t>la Procuradora Sexta</w:t>
          </w:r>
        </w:smartTag>
        <w:r w:rsidRPr="00AA1B50">
          <w:rPr>
            <w:rFonts w:ascii="Arial" w:hAnsi="Arial" w:cs="Arial"/>
            <w:sz w:val="24"/>
            <w:szCs w:val="24"/>
          </w:rPr>
          <w:t xml:space="preserve"> Delegada</w:t>
        </w:r>
      </w:smartTag>
      <w:r w:rsidRPr="00AA1B50">
        <w:rPr>
          <w:rFonts w:ascii="Arial" w:hAnsi="Arial" w:cs="Arial"/>
          <w:sz w:val="24"/>
          <w:szCs w:val="24"/>
        </w:rPr>
        <w:t xml:space="preserve">, solicita denegar las pretensiones de la demanda y confirmar la sentencia apelada por las siguientes razones: para la época de los hechos, ya se encontraba construída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es decir no era una obra en construcción, porque de acuerdo con lo expresado en los fundamentos fácticos, la primera etapa concluyó el 1 de agosto de 1997 con la suscripción del acta de entrega de la obra, la segunda etapa que incluye el arrendamiento para la operación de la estación culminaba en marzo de 2004.</w:t>
      </w: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lastRenderedPageBreak/>
        <w:t xml:space="preserve">Considerándose el leasing y el manejo contable establecido en el Decreto 2649 de 1993, como similar al contrato de arrendamiento objeto de análisis, el arrendador debe incluir en sus informes contables la totalidad de los ingresos generados por los contratos de arrendamiento. La actividad principal del contrato es el arrendamiento y no la venta, porque durante la vigencia del contrato se percibe un canon de arrendamiento y sus características son las de aquel, a las que se le agrega la cláusula de opción de compra  y se constituye paralelamente el contrato de promesa de venta. En ninguno de los casos anteriores se encuentran viables los planteamientos del actor frente al diferimiento de costos y gastos financieros incurridos en su adquisición.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Respecto de los gastos y costos relacionados con la diferencia en cambio y los intereses originados en las obligaciones contraídas para financiar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una vez terminada y entregada la obra como útil y generadora de ingresos, no pueden diferirse. Toda vez que terminada la construcción del proyecto, se empieza a utilizar y a generar ingresos, es decir es un proyecto ya construído para arrendar inicialmente y posteriormente existe la posibilidad de venta. Sobre el argumento de la recurrente de que se difirieron los costos y gastos relacionados con el precio de promesa de venta en la proporción del precio que no se había pagado, considerando que no existe dominio sobre el bien inmueble, los ingresos por arrendamiento no se pueden manejar en igual sentido que el anticipo de precio por un contrato pendiente como era la compraventa. </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center"/>
        <w:rPr>
          <w:rFonts w:ascii="Arial" w:hAnsi="Arial" w:cs="Arial"/>
          <w:b/>
          <w:sz w:val="24"/>
          <w:szCs w:val="24"/>
        </w:rPr>
      </w:pPr>
      <w:r w:rsidRPr="00AA1B50">
        <w:rPr>
          <w:rFonts w:ascii="Arial" w:hAnsi="Arial" w:cs="Arial"/>
          <w:b/>
          <w:sz w:val="24"/>
          <w:szCs w:val="24"/>
        </w:rPr>
        <w:t>CONSIDERACIONES</w:t>
      </w:r>
    </w:p>
    <w:p w:rsidR="008252F6" w:rsidRPr="00AA1B50" w:rsidRDefault="008252F6" w:rsidP="008252F6">
      <w:pPr>
        <w:ind w:firstLine="708"/>
        <w:jc w:val="center"/>
        <w:rPr>
          <w:rFonts w:ascii="Arial" w:hAnsi="Arial" w:cs="Arial"/>
          <w:b/>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Procede </w:t>
      </w:r>
      <w:smartTag w:uri="urn:schemas-microsoft-com:office:smarttags" w:element="PersonName">
        <w:smartTagPr>
          <w:attr w:name="ProductID" w:val="la Sala"/>
        </w:smartTagPr>
        <w:r w:rsidRPr="00AA1B50">
          <w:rPr>
            <w:rFonts w:ascii="Arial" w:hAnsi="Arial" w:cs="Arial"/>
            <w:sz w:val="24"/>
            <w:szCs w:val="24"/>
          </w:rPr>
          <w:t>la Sala</w:t>
        </w:r>
      </w:smartTag>
      <w:r w:rsidRPr="00AA1B50">
        <w:rPr>
          <w:rFonts w:ascii="Arial" w:hAnsi="Arial" w:cs="Arial"/>
          <w:sz w:val="24"/>
          <w:szCs w:val="24"/>
        </w:rPr>
        <w:t xml:space="preserve"> a decidir el recurso de apelación interpuesto por la actora contra la sentencia del Tribunal Administrativo de Cundinamarca que denegó las pretensiones de la demanda contra los actos administrativos expedidos por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(hoy Superintendencia Financiera) por los cuales ordenó regularizar la contabilidad que la sociedad fiduciaria Lloyds Trust S.A. llevaba en relación con el Patrimonio Autónomo Fideicomiso de Administración Garantía y Fuente de Pago de </w:t>
      </w:r>
      <w:smartTag w:uri="urn:schemas-microsoft-com:office:smarttags" w:element="PersonName">
        <w:smartTagPr>
          <w:attr w:name="ProductID" w:val="la Uni￳n Temporal Impsa-Foster"/>
        </w:smartTagP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Impsa-Foster</w:t>
        </w:r>
      </w:smartTag>
      <w:r w:rsidRPr="00AA1B50">
        <w:rPr>
          <w:rFonts w:ascii="Arial" w:hAnsi="Arial" w:cs="Arial"/>
          <w:sz w:val="24"/>
          <w:szCs w:val="24"/>
        </w:rPr>
        <w:t>.Eiffel.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Los actos demandados son los Oficios 2002006091-1 del 4 de marzo de 2002, 2002006091-4 del 2 de mayo y 2002006091-6 del 17 de junio del mismo año, expedidos por el Director Técnico para Sociedades Fiduciarias de </w:t>
      </w:r>
      <w:smartTag w:uri="urn:schemas-microsoft-com:office:smarttags" w:element="PersonName">
        <w:smartTagPr>
          <w:attr w:name="ProductID" w:val="la Superintendencia Bancaria"/>
        </w:smartTagP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Bancaria</w:t>
        </w:r>
      </w:smartTag>
      <w:r w:rsidRPr="00AA1B50">
        <w:rPr>
          <w:rFonts w:ascii="Arial" w:hAnsi="Arial" w:cs="Arial"/>
          <w:sz w:val="24"/>
          <w:szCs w:val="24"/>
        </w:rPr>
        <w:t xml:space="preserve"> y el Superintendente Delegado para Entidades Administradoras de Pensiones y Cesantías  mediante los cuales se ordenó regularizar la contabilidad del Patrimonio Autónomo (P.A.) y se abstuvo de pronunciarse sobre los estados financieros con corte a 31 de diciembre de 2001 por no ajustarse a las normas contables generalmente aceptadas y a las instrucciones impartidas por </w:t>
      </w:r>
      <w:smartTag w:uri="urn:schemas-microsoft-com:office:smarttags" w:element="PersonName">
        <w:smartTagPr>
          <w:attr w:name="ProductID" w:val="la Superintendencia. El"/>
        </w:smartTagPr>
        <w:r w:rsidRPr="00AA1B50">
          <w:rPr>
            <w:rFonts w:ascii="Arial" w:hAnsi="Arial" w:cs="Arial"/>
            <w:sz w:val="24"/>
            <w:szCs w:val="24"/>
          </w:rPr>
          <w:t>la Superintendencia. El</w:t>
        </w:r>
      </w:smartTag>
      <w:r w:rsidRPr="00AA1B50">
        <w:rPr>
          <w:rFonts w:ascii="Arial" w:hAnsi="Arial" w:cs="Arial"/>
          <w:sz w:val="24"/>
          <w:szCs w:val="24"/>
        </w:rPr>
        <w:t xml:space="preserve"> punto concreto se refiere al manejo contable que dio la fiduciaria a la diferencia en cambio y los intereses por financiación pagados después de recibir ingresos por arrendamiento de la estación de gas licuado que luego se entregaría en venta a ECOPETROL.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lastRenderedPageBreak/>
        <w:t>Para una mejor ilustración del asunto por decidir, se relatan los hechos expuestos como fundamento de los actos acusados y que se encuentran probados.</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El 15 de febrero de 1995 ECOPETROL adjudicó la licitación pública CIB-001-94 para optimización del almacenamiento de gas licuado, a </w:t>
      </w:r>
      <w:smartTag w:uri="urn:schemas-microsoft-com:office:smarttags" w:element="PersonName">
        <w:smartTagPr>
          <w:attr w:name="ProductID" w:val="la Uni￳n Temporal Impsa"/>
        </w:smartTagP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Impsa</w:t>
        </w:r>
      </w:smartTag>
      <w:r w:rsidRPr="00AA1B50">
        <w:rPr>
          <w:rFonts w:ascii="Arial" w:hAnsi="Arial" w:cs="Arial"/>
          <w:sz w:val="24"/>
          <w:szCs w:val="24"/>
        </w:rPr>
        <w:t xml:space="preserve"> Foster Eiffel.</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oferta se concretó en </w:t>
      </w:r>
      <w:smartTag w:uri="urn:schemas-microsoft-com:office:smarttags" w:element="PersonName">
        <w:smartTagPr>
          <w:attr w:name="ProductID" w:val="la modalidad APT"/>
        </w:smartTagPr>
        <w:r w:rsidRPr="00AA1B50">
          <w:rPr>
            <w:rFonts w:ascii="Arial" w:hAnsi="Arial" w:cs="Arial"/>
            <w:sz w:val="24"/>
            <w:szCs w:val="24"/>
          </w:rPr>
          <w:t>la modalidad APT</w:t>
        </w:r>
      </w:smartTag>
      <w:r w:rsidRPr="00AA1B50">
        <w:rPr>
          <w:rFonts w:ascii="Arial" w:hAnsi="Arial" w:cs="Arial"/>
          <w:sz w:val="24"/>
          <w:szCs w:val="24"/>
        </w:rPr>
        <w:t xml:space="preserve"> (Arrendamiento, Promesa de Compraventa y Transferencia), que tenía como prestaciones contractuales construir una Estación de gas Licuado, para entregarla en arrendamiento a ECOPETROL, y finalmente la compra, por parte de ésta, de </w:t>
      </w:r>
      <w:smartTag w:uri="urn:schemas-microsoft-com:office:smarttags" w:element="PersonName">
        <w:smartTagPr>
          <w:attr w:name="ProductID" w:val="la citada Estaci￳n."/>
        </w:smartTagPr>
        <w:r w:rsidRPr="00AA1B50">
          <w:rPr>
            <w:rFonts w:ascii="Arial" w:hAnsi="Arial" w:cs="Arial"/>
            <w:sz w:val="24"/>
            <w:szCs w:val="24"/>
          </w:rPr>
          <w:t>la citada Estación.</w:t>
        </w:r>
      </w:smartTag>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Con este objeto se suscribieron los contratos de arrendamiento DIJ-746 y de Promesa de Venta DIJ-747, que incluía la obligación de construir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arrendarla a ECOPETROL y venderla a ésta a la terminación del proyecto, mediante la suscripción de un Contrato de venta.</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Al constituirse el Patrimonio Autónomo Fideicomiso de Administración, Garantía y Fuente de Pago Impsa-Foster-Eiffel – FIDUANGLO,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cedió los contratos de arrendamiento y de promesa de venta. La financiación del 100% de la Estación se hizo mediante la colocación de bonos en el mercado internacional de capitales bajo la modalidad “bullet”, según la cual se haría un solo pago del principal en la misma fecha de la compraventa del bien mientras que los intereses se pagaban periódicamente a una misma tasa fija. Con los dineros recibidos mensualmente por concepto de cánones de arrendamiento y de anticipo al precio de venta se pagaban los intereses de financiación.</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La primera etapa concluyó el 1° de agosto de 1997 con la suscripción del Acta de Entrega de </w:t>
      </w:r>
      <w:smartTag w:uri="urn:schemas-microsoft-com:office:smarttags" w:element="PersonName">
        <w:smartTagPr>
          <w:attr w:name="ProductID" w:val="la Obra"/>
        </w:smartTagPr>
        <w:r w:rsidRPr="00AA1B50">
          <w:rPr>
            <w:rFonts w:ascii="Arial" w:hAnsi="Arial" w:cs="Arial"/>
            <w:sz w:val="24"/>
            <w:szCs w:val="24"/>
          </w:rPr>
          <w:t>la Obra</w:t>
        </w:r>
      </w:smartTag>
      <w:r w:rsidRPr="00AA1B50">
        <w:rPr>
          <w:rFonts w:ascii="Arial" w:hAnsi="Arial" w:cs="Arial"/>
          <w:sz w:val="24"/>
          <w:szCs w:val="24"/>
        </w:rPr>
        <w:t xml:space="preserve">, por parte de ECOPETROL. La segunda etapa incluía el arrendamiento a ECOPETROL para que ésta operara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pagando el canon de arrendamiento y un anticipo mensual al precio de </w:t>
      </w:r>
      <w:smartTag w:uri="urn:schemas-microsoft-com:office:smarttags" w:element="PersonName">
        <w:smartTagPr>
          <w:attr w:name="ProductID" w:val="la compraventa. El"/>
        </w:smartTagPr>
        <w:r w:rsidRPr="00AA1B50">
          <w:rPr>
            <w:rFonts w:ascii="Arial" w:hAnsi="Arial" w:cs="Arial"/>
            <w:sz w:val="24"/>
            <w:szCs w:val="24"/>
          </w:rPr>
          <w:t>la compraventa. El</w:t>
        </w:r>
      </w:smartTag>
      <w:r w:rsidRPr="00AA1B50">
        <w:rPr>
          <w:rFonts w:ascii="Arial" w:hAnsi="Arial" w:cs="Arial"/>
          <w:sz w:val="24"/>
          <w:szCs w:val="24"/>
        </w:rPr>
        <w:t xml:space="preserve"> contrato de promesa de venta contemplaba la enajenación definitiva a ECOPETROL en marzo de 2004.</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El tratamiento contable de los ingresos y costos en el fideicomiso era el siguiente:</w:t>
      </w:r>
    </w:p>
    <w:p w:rsidR="008252F6" w:rsidRPr="00AA1B50" w:rsidRDefault="008252F6" w:rsidP="008252F6">
      <w:pPr>
        <w:ind w:firstLine="708"/>
        <w:jc w:val="both"/>
        <w:rPr>
          <w:rFonts w:ascii="Arial" w:hAnsi="Arial" w:cs="Arial"/>
          <w:b/>
          <w:sz w:val="24"/>
          <w:szCs w:val="24"/>
        </w:rPr>
      </w:pPr>
    </w:p>
    <w:p w:rsidR="008252F6" w:rsidRPr="00AA1B50" w:rsidRDefault="008252F6" w:rsidP="008252F6">
      <w:pPr>
        <w:ind w:firstLine="708"/>
        <w:jc w:val="both"/>
        <w:rPr>
          <w:rFonts w:ascii="Arial" w:hAnsi="Arial" w:cs="Arial"/>
          <w:b/>
          <w:sz w:val="24"/>
          <w:szCs w:val="24"/>
        </w:rPr>
      </w:pPr>
      <w:r w:rsidRPr="00AA1B50">
        <w:rPr>
          <w:rFonts w:ascii="Arial" w:hAnsi="Arial" w:cs="Arial"/>
          <w:b/>
          <w:sz w:val="24"/>
          <w:szCs w:val="24"/>
        </w:rPr>
        <w:t>Primera etapa del proyecto:</w:t>
      </w: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t xml:space="preserve">Los costos y gastos incurridos en la ejecución del proyecto hasta el 31 de julio de 1997 se capitalizaban, es decir, se llevaban como un mayor valor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que fue entregada y aceptada por ECOPETROL en esa fecha. Los cánones de arrendamiento como ingresos corrientes desde agosto de 1997, y los anticipos al precio de venta como un pasivo.</w:t>
      </w:r>
    </w:p>
    <w:p w:rsidR="008252F6" w:rsidRPr="00AA1B50" w:rsidRDefault="008252F6" w:rsidP="008252F6">
      <w:pPr>
        <w:ind w:firstLine="708"/>
        <w:jc w:val="both"/>
        <w:rPr>
          <w:rFonts w:ascii="Arial" w:hAnsi="Arial" w:cs="Arial"/>
          <w:sz w:val="24"/>
          <w:szCs w:val="24"/>
        </w:rPr>
      </w:pPr>
    </w:p>
    <w:p w:rsidR="008252F6" w:rsidRPr="00AA1B50" w:rsidRDefault="008252F6" w:rsidP="008252F6">
      <w:pPr>
        <w:ind w:firstLine="708"/>
        <w:jc w:val="both"/>
        <w:rPr>
          <w:rFonts w:ascii="Arial" w:hAnsi="Arial" w:cs="Arial"/>
          <w:b/>
          <w:sz w:val="24"/>
          <w:szCs w:val="24"/>
        </w:rPr>
      </w:pPr>
      <w:r w:rsidRPr="00AA1B50">
        <w:rPr>
          <w:rFonts w:ascii="Arial" w:hAnsi="Arial" w:cs="Arial"/>
          <w:b/>
          <w:sz w:val="24"/>
          <w:szCs w:val="24"/>
        </w:rPr>
        <w:t>Segunda etapa del proyecto:</w:t>
      </w:r>
    </w:p>
    <w:p w:rsidR="008252F6" w:rsidRPr="00AA1B50" w:rsidRDefault="008252F6" w:rsidP="008252F6">
      <w:pPr>
        <w:ind w:firstLine="708"/>
        <w:jc w:val="both"/>
        <w:rPr>
          <w:rFonts w:ascii="Arial" w:hAnsi="Arial" w:cs="Arial"/>
          <w:sz w:val="24"/>
          <w:szCs w:val="24"/>
        </w:rPr>
      </w:pPr>
      <w:r w:rsidRPr="00AA1B50">
        <w:rPr>
          <w:rFonts w:ascii="Arial" w:hAnsi="Arial" w:cs="Arial"/>
          <w:sz w:val="24"/>
          <w:szCs w:val="24"/>
        </w:rPr>
        <w:lastRenderedPageBreak/>
        <w:t xml:space="preserve">Los costos y gastos incurridos en la financiación del proyecto con posterioridad a la aceptación de la obra por ECOPETROL se amortizaban en el Estado de Pérdidas y Ganancias en la parte proporcional a los ingresos obtenidos de los arrendamientos. Pero los costos y gastos imputables al precio de venta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se diferían así:</w:t>
      </w:r>
    </w:p>
    <w:p w:rsidR="008252F6" w:rsidRPr="00AA1B50" w:rsidRDefault="008252F6" w:rsidP="008252F6">
      <w:pPr>
        <w:ind w:firstLine="708"/>
        <w:jc w:val="both"/>
        <w:rPr>
          <w:rFonts w:ascii="Arial" w:hAnsi="Arial" w:cs="Arial"/>
          <w:sz w:val="24"/>
          <w:szCs w:val="24"/>
        </w:rPr>
      </w:pPr>
    </w:p>
    <w:p w:rsidR="008252F6" w:rsidRPr="00AA1B50" w:rsidRDefault="008252F6" w:rsidP="008252F6">
      <w:pPr>
        <w:numPr>
          <w:ilvl w:val="0"/>
          <w:numId w:val="1"/>
        </w:numPr>
        <w:overflowPunct/>
        <w:autoSpaceDE/>
        <w:autoSpaceDN/>
        <w:adjustRightInd/>
        <w:jc w:val="both"/>
        <w:textAlignment w:val="auto"/>
        <w:rPr>
          <w:rFonts w:ascii="Arial" w:hAnsi="Arial" w:cs="Arial"/>
          <w:sz w:val="24"/>
          <w:szCs w:val="24"/>
        </w:rPr>
      </w:pPr>
      <w:r w:rsidRPr="00AA1B50">
        <w:rPr>
          <w:rFonts w:ascii="Arial" w:hAnsi="Arial" w:cs="Arial"/>
          <w:sz w:val="24"/>
          <w:szCs w:val="24"/>
        </w:rPr>
        <w:t xml:space="preserve">Los intereses pagados por la financiación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a vender a ECOPETROL a la cuenta 191595 Gastos Anticipados-Otros Diferidos Intereses.</w:t>
      </w:r>
    </w:p>
    <w:p w:rsidR="008252F6" w:rsidRPr="00AA1B50" w:rsidRDefault="008252F6" w:rsidP="008252F6">
      <w:pPr>
        <w:numPr>
          <w:ilvl w:val="0"/>
          <w:numId w:val="1"/>
        </w:numPr>
        <w:overflowPunct/>
        <w:autoSpaceDE/>
        <w:autoSpaceDN/>
        <w:adjustRightInd/>
        <w:jc w:val="both"/>
        <w:textAlignment w:val="auto"/>
        <w:rPr>
          <w:rFonts w:ascii="Arial" w:hAnsi="Arial" w:cs="Arial"/>
          <w:sz w:val="24"/>
          <w:szCs w:val="24"/>
        </w:rPr>
      </w:pPr>
      <w:r w:rsidRPr="00AA1B50">
        <w:rPr>
          <w:rFonts w:ascii="Arial" w:hAnsi="Arial" w:cs="Arial"/>
          <w:sz w:val="24"/>
          <w:szCs w:val="24"/>
        </w:rPr>
        <w:t>La pérdida en cambio sobre el pasivo en dólares americanos se contabilizaba en la cuenta 171592 – Bienes Realizables y otros activos – Construcciones en Curso – Costo Financiero – Diferencia en Cambio.</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Con motivo de la opinión adversa emitida por el nuevo revisor fiscal de la sociedad fiduciaria Lloyds Trust S.A.,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emitió el Oficio 2002006091-1 del 4 de marzo de 2002 donde ordenó regularizar la contabilidad del patrimonio autónomo y se abstuvo de pronunciarse sobre los estados financieros con corte a 31 de diciembre de 2001 por no ajustarse la contabilidad del fideicomiso a las normas generalmente aceptadas y a las instrucciones impartidas por esa misma entidad de control. La glosa fue sustentada en la opinión adversa del revisor fiscal y en los conceptos que respondieron negativamente las consultas elevadas por la sociedad fiduciaria. Los recursos de reposición y de apelación interpuestos el 7 de marzo de 2002 fueron decididos en forma desfavorable.</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Del recuento fáctico anterior, tenemos que el asunto por decidir versa sobre la contabilización de los costos y gastos incurridos por la diferencia en cambio y los intereses originados en obligaciones contraídas para financiar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de gas licuado una vez terminada aquella y entregada en arrendamiento a ECOPETROL.</w:t>
      </w:r>
    </w:p>
    <w:p w:rsidR="008252F6" w:rsidRPr="00AA1B50" w:rsidRDefault="004B76EF" w:rsidP="004B76EF">
      <w:pPr>
        <w:tabs>
          <w:tab w:val="left" w:pos="4200"/>
        </w:tabs>
        <w:ind w:firstLine="709"/>
        <w:jc w:val="both"/>
        <w:rPr>
          <w:rFonts w:ascii="Arial" w:hAnsi="Arial" w:cs="Arial"/>
          <w:sz w:val="24"/>
          <w:szCs w:val="24"/>
        </w:rPr>
      </w:pPr>
      <w:r w:rsidRPr="00AA1B50">
        <w:rPr>
          <w:rFonts w:ascii="Arial" w:hAnsi="Arial" w:cs="Arial"/>
          <w:sz w:val="24"/>
          <w:szCs w:val="24"/>
        </w:rPr>
        <w:tab/>
      </w:r>
    </w:p>
    <w:p w:rsidR="008252F6" w:rsidRPr="00AA1B50" w:rsidRDefault="008252F6" w:rsidP="008252F6">
      <w:pPr>
        <w:ind w:right="23" w:firstLine="709"/>
        <w:jc w:val="both"/>
        <w:rPr>
          <w:rFonts w:ascii="Arial" w:hAnsi="Arial" w:cs="Arial"/>
          <w:sz w:val="24"/>
          <w:szCs w:val="24"/>
        </w:rPr>
      </w:pPr>
      <w:r w:rsidRPr="00AA1B50">
        <w:rPr>
          <w:rFonts w:ascii="Arial" w:hAnsi="Arial" w:cs="Arial"/>
          <w:sz w:val="24"/>
          <w:szCs w:val="24"/>
        </w:rPr>
        <w:t xml:space="preserve">Sea lo primero advertir que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ostenta la facultad de regulación contable de los entes sometidos a su vigilancia y control según lo dispuesto en el Estatuto Orgánico del Sistema Financiero (E.O.S.F.), Decreto 663 de 1993 expedido por el Gobierno Nacional en virtud de las facultades otorgadas por el artículo 36 de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35 de 1993. Es así como el literal b) del numeral 3° (modificado por el artículo 37 de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510 de 1999)  señala como una de las funciones de control y vigilancia de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w:t>
      </w:r>
    </w:p>
    <w:p w:rsidR="008252F6" w:rsidRPr="00AA1B50" w:rsidRDefault="008252F6" w:rsidP="008252F6">
      <w:pPr>
        <w:ind w:right="23" w:firstLine="709"/>
        <w:jc w:val="both"/>
        <w:rPr>
          <w:rFonts w:ascii="Arial" w:hAnsi="Arial" w:cs="Arial"/>
          <w:sz w:val="24"/>
          <w:szCs w:val="24"/>
        </w:rPr>
      </w:pPr>
    </w:p>
    <w:p w:rsidR="008252F6" w:rsidRPr="00AA1B50" w:rsidRDefault="008252F6" w:rsidP="008252F6">
      <w:pPr>
        <w:ind w:left="1077" w:right="743"/>
        <w:jc w:val="both"/>
        <w:rPr>
          <w:rFonts w:ascii="Arial" w:hAnsi="Arial" w:cs="Arial"/>
          <w:i/>
          <w:sz w:val="24"/>
          <w:szCs w:val="24"/>
        </w:rPr>
      </w:pPr>
      <w:r w:rsidRPr="00AA1B50">
        <w:rPr>
          <w:rFonts w:ascii="Arial" w:hAnsi="Arial" w:cs="Arial"/>
          <w:i/>
          <w:sz w:val="24"/>
          <w:szCs w:val="24"/>
        </w:rPr>
        <w:t>“Dictar las normas generales que deben observar las instituciones vigiladas en su contabilidad, sin perjuicio de la autonomía reconocida a estas últimas para escoger y utilizar métodos accesorios de conformidad con la ley”.</w:t>
      </w:r>
    </w:p>
    <w:p w:rsidR="008252F6" w:rsidRPr="00AA1B50" w:rsidRDefault="008252F6" w:rsidP="008252F6">
      <w:pPr>
        <w:ind w:left="540" w:right="740"/>
        <w:jc w:val="both"/>
        <w:rPr>
          <w:rFonts w:ascii="Arial" w:hAnsi="Arial" w:cs="Arial"/>
          <w:sz w:val="24"/>
          <w:szCs w:val="24"/>
        </w:rPr>
      </w:pPr>
    </w:p>
    <w:p w:rsidR="008252F6" w:rsidRPr="00AA1B50" w:rsidRDefault="008252F6" w:rsidP="008252F6">
      <w:pPr>
        <w:ind w:right="-81" w:firstLine="709"/>
        <w:jc w:val="both"/>
        <w:rPr>
          <w:rFonts w:ascii="Arial" w:hAnsi="Arial" w:cs="Arial"/>
          <w:sz w:val="24"/>
          <w:szCs w:val="24"/>
        </w:rPr>
      </w:pPr>
      <w:r w:rsidRPr="00AA1B50">
        <w:rPr>
          <w:rFonts w:ascii="Arial" w:hAnsi="Arial" w:cs="Arial"/>
          <w:sz w:val="24"/>
          <w:szCs w:val="24"/>
        </w:rPr>
        <w:t xml:space="preserve">Pero, igualmente, el artículo 95 del citado Estatuto después de la modificación introducida por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510 de 1999 en su artículo 38, dispone:</w:t>
      </w:r>
    </w:p>
    <w:p w:rsidR="008252F6" w:rsidRPr="00AA1B50" w:rsidRDefault="008252F6" w:rsidP="008252F6">
      <w:pPr>
        <w:ind w:right="-81" w:firstLine="709"/>
        <w:jc w:val="both"/>
        <w:rPr>
          <w:rFonts w:ascii="Arial" w:hAnsi="Arial" w:cs="Arial"/>
          <w:sz w:val="24"/>
          <w:szCs w:val="24"/>
        </w:rPr>
      </w:pPr>
    </w:p>
    <w:p w:rsidR="008252F6" w:rsidRPr="00AA1B50" w:rsidRDefault="008252F6" w:rsidP="008252F6">
      <w:pPr>
        <w:ind w:left="539" w:right="743"/>
        <w:jc w:val="both"/>
        <w:rPr>
          <w:rFonts w:ascii="Arial" w:hAnsi="Arial" w:cs="Arial"/>
          <w:i/>
          <w:sz w:val="24"/>
          <w:szCs w:val="24"/>
        </w:rPr>
      </w:pPr>
      <w:r w:rsidRPr="00AA1B50">
        <w:rPr>
          <w:rFonts w:ascii="Arial" w:hAnsi="Arial" w:cs="Arial"/>
          <w:sz w:val="24"/>
          <w:szCs w:val="24"/>
        </w:rPr>
        <w:lastRenderedPageBreak/>
        <w:t>“</w:t>
      </w:r>
      <w:r w:rsidRPr="00AA1B50">
        <w:rPr>
          <w:rFonts w:ascii="Arial" w:hAnsi="Arial" w:cs="Arial"/>
          <w:b/>
          <w:i/>
          <w:sz w:val="24"/>
          <w:szCs w:val="24"/>
        </w:rPr>
        <w:t>Régimen general</w:t>
      </w:r>
      <w:r w:rsidRPr="00AA1B50">
        <w:rPr>
          <w:rFonts w:ascii="Arial" w:hAnsi="Arial" w:cs="Arial"/>
          <w:i/>
          <w:sz w:val="24"/>
          <w:szCs w:val="24"/>
        </w:rPr>
        <w:t xml:space="preserve">. </w:t>
      </w:r>
      <w:smartTag w:uri="urn:schemas-microsoft-com:office:smarttags" w:element="PersonName">
        <w:smartTagPr>
          <w:attr w:name="ProductID" w:val="la Superintendencia Bancaria"/>
        </w:smartTagPr>
        <w:r w:rsidRPr="00AA1B50">
          <w:rPr>
            <w:rFonts w:ascii="Arial" w:hAnsi="Arial" w:cs="Arial"/>
            <w:i/>
            <w:sz w:val="24"/>
            <w:szCs w:val="24"/>
          </w:rPr>
          <w:t>La Superintendencia Bancaria</w:t>
        </w:r>
      </w:smartTag>
      <w:r w:rsidRPr="00AA1B50">
        <w:rPr>
          <w:rFonts w:ascii="Arial" w:hAnsi="Arial" w:cs="Arial"/>
          <w:i/>
          <w:sz w:val="24"/>
          <w:szCs w:val="24"/>
        </w:rPr>
        <w:t xml:space="preserve"> se encuentra facultada para dictar las </w:t>
      </w:r>
      <w:r w:rsidRPr="00AA1B50">
        <w:rPr>
          <w:rFonts w:ascii="Arial" w:hAnsi="Arial" w:cs="Arial"/>
          <w:b/>
          <w:i/>
          <w:sz w:val="24"/>
          <w:szCs w:val="24"/>
        </w:rPr>
        <w:t>normas generales que en materia contable</w:t>
      </w:r>
      <w:r w:rsidRPr="00AA1B50">
        <w:rPr>
          <w:rFonts w:ascii="Arial" w:hAnsi="Arial" w:cs="Arial"/>
          <w:i/>
          <w:sz w:val="24"/>
          <w:szCs w:val="24"/>
        </w:rPr>
        <w:t xml:space="preserve"> deben observar las entidades vigiladas, sin perjuicio de la autonomía de estas últimas para escoger y utilizar métodos accesorios de conformidad con la ley (se ha resaltado).</w:t>
      </w:r>
    </w:p>
    <w:p w:rsidR="008252F6" w:rsidRPr="00AA1B50" w:rsidRDefault="008252F6" w:rsidP="008252F6">
      <w:pPr>
        <w:ind w:left="539" w:right="743"/>
        <w:jc w:val="both"/>
        <w:rPr>
          <w:rFonts w:ascii="Arial" w:hAnsi="Arial" w:cs="Arial"/>
          <w:i/>
          <w:sz w:val="24"/>
          <w:szCs w:val="24"/>
        </w:rPr>
      </w:pPr>
    </w:p>
    <w:p w:rsidR="008252F6" w:rsidRPr="00AA1B50" w:rsidRDefault="008252F6" w:rsidP="008252F6">
      <w:pPr>
        <w:ind w:left="539" w:right="743"/>
        <w:jc w:val="both"/>
        <w:rPr>
          <w:rFonts w:ascii="Arial" w:hAnsi="Arial" w:cs="Arial"/>
          <w:i/>
          <w:sz w:val="24"/>
          <w:szCs w:val="24"/>
        </w:rPr>
      </w:pPr>
    </w:p>
    <w:p w:rsidR="008252F6" w:rsidRPr="00AA1B50" w:rsidRDefault="008252F6" w:rsidP="008252F6">
      <w:pPr>
        <w:ind w:right="-81" w:firstLine="709"/>
        <w:jc w:val="both"/>
        <w:rPr>
          <w:rFonts w:ascii="Arial" w:hAnsi="Arial" w:cs="Arial"/>
          <w:sz w:val="24"/>
          <w:szCs w:val="24"/>
        </w:rPr>
      </w:pPr>
      <w:r w:rsidRPr="00AA1B50">
        <w:rPr>
          <w:rFonts w:ascii="Arial" w:hAnsi="Arial" w:cs="Arial"/>
          <w:sz w:val="24"/>
          <w:szCs w:val="24"/>
        </w:rPr>
        <w:t xml:space="preserve">En tales condiciones,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(hoy Superfinanciera) tiene entre sus facultades de inspección y vigilancia la de dictar o instruir a las entidades sometidas a su control, sobre las normas generales en materia de contabilidad, sin perjuicio de que éstas puedan utilizar métodos de reconocido valor aceptados por la ley. </w:t>
      </w:r>
    </w:p>
    <w:p w:rsidR="008252F6" w:rsidRPr="00AA1B50" w:rsidRDefault="008252F6" w:rsidP="008252F6">
      <w:pPr>
        <w:ind w:right="743"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El Decreto 2649 de 1993 que constituye el reglamento general de la contabilidad en Colombia contiene “</w:t>
      </w:r>
      <w:r w:rsidRPr="00AA1B50">
        <w:rPr>
          <w:rFonts w:ascii="Arial" w:hAnsi="Arial" w:cs="Arial"/>
          <w:i/>
          <w:sz w:val="24"/>
          <w:szCs w:val="24"/>
        </w:rPr>
        <w:t>el conjunto de conceptos básicos y de reglas que deben ser observados al registrar e informar contablemente sobre los asuntos y actividades de personas naturales o jurídicas</w:t>
      </w:r>
      <w:proofErr w:type="gramStart"/>
      <w:r w:rsidRPr="00AA1B50">
        <w:rPr>
          <w:rFonts w:ascii="Arial" w:hAnsi="Arial" w:cs="Arial"/>
          <w:sz w:val="24"/>
          <w:szCs w:val="24"/>
        </w:rPr>
        <w:t>”(</w:t>
      </w:r>
      <w:proofErr w:type="gramEnd"/>
      <w:r w:rsidRPr="00AA1B50">
        <w:rPr>
          <w:rFonts w:ascii="Arial" w:hAnsi="Arial" w:cs="Arial"/>
          <w:sz w:val="24"/>
          <w:szCs w:val="24"/>
        </w:rPr>
        <w:t>artículo 1°). En cuanto a su ámbito de aplicación, este Decreto debe ser aplicado por todas las personas que de acuerdo con la ley están obligadas a llevar contabilidad (artículo 2°). Por su parte, el artículo 19-3 del Código de Comercio establece como deber de todos los comerciantes “</w:t>
      </w:r>
      <w:r w:rsidRPr="00AA1B50">
        <w:rPr>
          <w:rFonts w:ascii="Arial" w:hAnsi="Arial" w:cs="Arial"/>
          <w:i/>
          <w:sz w:val="24"/>
          <w:szCs w:val="24"/>
        </w:rPr>
        <w:t>llevar contabilidad regular de sus negocios conforme a las prescripciones legales</w:t>
      </w:r>
      <w:r w:rsidRPr="00AA1B50">
        <w:rPr>
          <w:rFonts w:ascii="Arial" w:hAnsi="Arial" w:cs="Arial"/>
          <w:sz w:val="24"/>
          <w:szCs w:val="24"/>
        </w:rPr>
        <w:t>”; mientras que el artículo 10 ibídem define como comerciantes a las personas que profesionalmente se ocupan en alguna de las actividades que la ley considera mercantiles. Por lo tanto, todos los comerciantes deben llevar contabilidad conforme a las reglas previstas en el Decreto 2649 de 1993.</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Según el artículo 1° del Estatuto Orgánico del Sistema Financiero (Decreto 663 de 1993), este </w:t>
      </w:r>
      <w:r w:rsidRPr="00AA1B50">
        <w:rPr>
          <w:rFonts w:ascii="Arial" w:hAnsi="Arial" w:cs="Arial"/>
          <w:b/>
          <w:sz w:val="24"/>
          <w:szCs w:val="24"/>
        </w:rPr>
        <w:t>sistema</w:t>
      </w:r>
      <w:r w:rsidRPr="00AA1B50">
        <w:rPr>
          <w:rFonts w:ascii="Arial" w:hAnsi="Arial" w:cs="Arial"/>
          <w:sz w:val="24"/>
          <w:szCs w:val="24"/>
        </w:rPr>
        <w:t xml:space="preserve"> está conformado por: a) establecimientos de crédito; b) sociedades de servicios financieros; c) sociedades de capitalización; d) entidades aseguradoras y e) intermediarios de seguros y reaseguros. Entre las </w:t>
      </w:r>
      <w:r w:rsidRPr="00AA1B50">
        <w:rPr>
          <w:rFonts w:ascii="Arial" w:hAnsi="Arial" w:cs="Arial"/>
          <w:b/>
          <w:sz w:val="24"/>
          <w:szCs w:val="24"/>
        </w:rPr>
        <w:t>sociedades de servicios financieros</w:t>
      </w:r>
      <w:r w:rsidRPr="00AA1B50">
        <w:rPr>
          <w:rFonts w:ascii="Arial" w:hAnsi="Arial" w:cs="Arial"/>
          <w:sz w:val="24"/>
          <w:szCs w:val="24"/>
        </w:rPr>
        <w:t xml:space="preserve"> (artículo 3°) el mismo Decreto sitúa a las sociedades fiduciarias, almacenes generales de depósito, las sociedades administradoras de fondos de pensiones y de cesantías y sociedades de intermediación cambiaria.</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Conforme a lo dispuesto, las entidades del sector financiero, entre ellas las sociedades fiduciarias, reguladas en el Estatuto Orgánico del Sector Financiero, en su calidad de sociedades comerciales</w:t>
      </w:r>
      <w:r w:rsidRPr="00AA1B50">
        <w:rPr>
          <w:rStyle w:val="Refdenotaalpie"/>
        </w:rPr>
        <w:footnoteReference w:id="1"/>
      </w:r>
      <w:r w:rsidRPr="00AA1B50">
        <w:rPr>
          <w:rFonts w:ascii="Arial" w:hAnsi="Arial" w:cs="Arial"/>
          <w:sz w:val="24"/>
          <w:szCs w:val="24"/>
        </w:rPr>
        <w:t xml:space="preserve">, ostentan la calidad de comerciantes, y como tal, están obligadas a llevar libros de contabilidad bajo las prescripciones legales contempladas en el Código de Comercio así como en el reglamento </w:t>
      </w:r>
      <w:r w:rsidRPr="00AA1B50">
        <w:rPr>
          <w:rFonts w:ascii="Arial" w:hAnsi="Arial" w:cs="Arial"/>
          <w:sz w:val="24"/>
          <w:szCs w:val="24"/>
        </w:rPr>
        <w:lastRenderedPageBreak/>
        <w:t>general de la contabilidad, Decreto 2649 de 1993 que determina los principios de contabilidad de general aceptación</w:t>
      </w:r>
      <w:r w:rsidRPr="00AA1B50">
        <w:rPr>
          <w:rStyle w:val="Refdenotaalpie"/>
        </w:rPr>
        <w:footnoteReference w:id="2"/>
      </w:r>
      <w:r w:rsidRPr="00AA1B50">
        <w:rPr>
          <w:rFonts w:ascii="Arial" w:hAnsi="Arial" w:cs="Arial"/>
          <w:sz w:val="24"/>
          <w:szCs w:val="24"/>
        </w:rPr>
        <w:t>.</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Las “normas generales” que deben ser observadas por las entidades vigiladas del sector financiero según el Estatuto Orgánico del Sistema Financiero se sujetan en todo caso a los principios de contabilidad generalmente aceptados que preceptúan el reglamento general de la contabilidad y </w:t>
      </w:r>
      <w:smartTag w:uri="urn:schemas-microsoft-com:office:smarttags" w:element="PersonName">
        <w:smartTagPr>
          <w:attr w:name="ProductID" w:val="la Ley"/>
        </w:smartTagPr>
        <w:r w:rsidRPr="00AA1B50">
          <w:rPr>
            <w:rFonts w:ascii="Arial" w:hAnsi="Arial" w:cs="Arial"/>
            <w:sz w:val="24"/>
            <w:szCs w:val="24"/>
          </w:rPr>
          <w:t>la Ley</w:t>
        </w:r>
      </w:smartTag>
      <w:r w:rsidRPr="00AA1B50">
        <w:rPr>
          <w:rFonts w:ascii="Arial" w:hAnsi="Arial" w:cs="Arial"/>
          <w:sz w:val="24"/>
          <w:szCs w:val="24"/>
        </w:rPr>
        <w:t xml:space="preserve"> 43 de 1990, dado que los conceptos básicos y las reglas que rigen la contabilidad del sector privado en Colombia cubren a todas las personas sean naturales o jurídicas, sin importar la actividad mercantil que desarrollen, y sin que exista la posibilidad de que las entidades que ejercen control y vigilancia dentro de su papel de policía administrativa tengan la facultad de establecer normas contables que excedan o desborden lo establecido en la normativa contable general, de  competencia del legislador</w:t>
      </w:r>
      <w:r w:rsidRPr="00AA1B50">
        <w:rPr>
          <w:rStyle w:val="Refdenotaalpie"/>
        </w:rPr>
        <w:footnoteReference w:id="3"/>
      </w:r>
      <w:r w:rsidRPr="00AA1B50">
        <w:rPr>
          <w:rFonts w:ascii="Arial" w:hAnsi="Arial" w:cs="Arial"/>
          <w:sz w:val="24"/>
          <w:szCs w:val="24"/>
        </w:rPr>
        <w:t>, razón adicional para que en virtud de la jerarquía normativa, los actos administrativos de carácter general expedidos por los órganos de control no puedan exceder su potestad de reglamentación en materias contables.</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La aplicación de las normas generales previstas en el reglamento de la contabilidad, que tienen el carácter de mercantiles al referirse a los principios que deben tener en cuenta al llevar la contabilidad, se entiende  sin perjuicio de las directrices específicas que dicte </w:t>
      </w: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siempre y cuando no se aparten de los criterios y principios contables de la normativa general. </w:t>
      </w:r>
      <w:smartTag w:uri="urn:schemas-microsoft-com:office:smarttags" w:element="PersonName">
        <w:smartTagPr>
          <w:attr w:name="ProductID" w:val="la Sala"/>
        </w:smartTagPr>
        <w:r w:rsidRPr="00AA1B50">
          <w:rPr>
            <w:rFonts w:ascii="Arial" w:hAnsi="Arial" w:cs="Arial"/>
            <w:sz w:val="24"/>
            <w:szCs w:val="24"/>
          </w:rPr>
          <w:t>La Sala</w:t>
        </w:r>
      </w:smartTag>
      <w:r w:rsidRPr="00AA1B50">
        <w:rPr>
          <w:rFonts w:ascii="Arial" w:hAnsi="Arial" w:cs="Arial"/>
          <w:sz w:val="24"/>
          <w:szCs w:val="24"/>
        </w:rPr>
        <w:t xml:space="preserve"> se ha pronunciado al respecto así: </w:t>
      </w:r>
      <w:r w:rsidRPr="00AA1B50">
        <w:rPr>
          <w:rStyle w:val="Refdenotaalpie"/>
        </w:rPr>
        <w:footnoteReference w:id="4"/>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left="539" w:right="561"/>
        <w:jc w:val="both"/>
        <w:rPr>
          <w:rFonts w:ascii="Arial" w:hAnsi="Arial" w:cs="Arial"/>
          <w:i/>
          <w:sz w:val="24"/>
          <w:szCs w:val="24"/>
        </w:rPr>
      </w:pPr>
      <w:r w:rsidRPr="00AA1B50">
        <w:rPr>
          <w:rFonts w:ascii="Arial" w:hAnsi="Arial" w:cs="Arial"/>
          <w:sz w:val="24"/>
          <w:szCs w:val="24"/>
        </w:rPr>
        <w:t xml:space="preserve">“.. </w:t>
      </w:r>
      <w:r w:rsidRPr="00AA1B50">
        <w:rPr>
          <w:rFonts w:ascii="Arial" w:hAnsi="Arial" w:cs="Arial"/>
          <w:i/>
          <w:sz w:val="24"/>
          <w:szCs w:val="24"/>
        </w:rPr>
        <w:t xml:space="preserve">A su vez, del texto de los artículos 2033 y 2034 del C. Cio. </w:t>
      </w:r>
      <w:proofErr w:type="gramStart"/>
      <w:r w:rsidRPr="00AA1B50">
        <w:rPr>
          <w:rFonts w:ascii="Arial" w:hAnsi="Arial" w:cs="Arial"/>
          <w:i/>
          <w:sz w:val="24"/>
          <w:szCs w:val="24"/>
        </w:rPr>
        <w:t>se</w:t>
      </w:r>
      <w:proofErr w:type="gramEnd"/>
      <w:r w:rsidRPr="00AA1B50">
        <w:rPr>
          <w:rFonts w:ascii="Arial" w:hAnsi="Arial" w:cs="Arial"/>
          <w:i/>
          <w:sz w:val="24"/>
          <w:szCs w:val="24"/>
        </w:rPr>
        <w:t xml:space="preserve"> deduce que las normas de dicho código, dentro de las cuales están las relativas a la contabilidad de los comerciantes (artículos 48 al 74), son de aplicación supletiva frente a las especiales e imperativas disposiciones para el sector financiero. </w:t>
      </w:r>
    </w:p>
    <w:p w:rsidR="008252F6" w:rsidRPr="00AA1B50" w:rsidRDefault="008252F6" w:rsidP="008252F6">
      <w:pPr>
        <w:ind w:left="539" w:right="561"/>
        <w:jc w:val="both"/>
        <w:rPr>
          <w:rFonts w:ascii="Arial" w:hAnsi="Arial" w:cs="Arial"/>
          <w:i/>
          <w:sz w:val="24"/>
          <w:szCs w:val="24"/>
        </w:rPr>
      </w:pPr>
    </w:p>
    <w:p w:rsidR="008252F6" w:rsidRPr="00AA1B50" w:rsidRDefault="008252F6" w:rsidP="008252F6">
      <w:pPr>
        <w:ind w:left="539" w:right="561"/>
        <w:jc w:val="both"/>
        <w:rPr>
          <w:rFonts w:ascii="Arial" w:hAnsi="Arial" w:cs="Arial"/>
          <w:i/>
          <w:sz w:val="24"/>
          <w:szCs w:val="24"/>
        </w:rPr>
      </w:pPr>
      <w:r w:rsidRPr="00AA1B50">
        <w:rPr>
          <w:rFonts w:ascii="Arial" w:hAnsi="Arial" w:cs="Arial"/>
          <w:i/>
          <w:sz w:val="24"/>
          <w:szCs w:val="24"/>
        </w:rPr>
        <w:t xml:space="preserve">Tal precisión, que ya había sido efectuada por la jurisprudencia y la doctrina, significa que las entidades financieras deben observar las disposiciones mercantiles, en cuanto sean compatibles con las normas especiales para el sector dentro de las cuales obviamente, están las dictadas por </w:t>
      </w:r>
      <w:smartTag w:uri="urn:schemas-microsoft-com:office:smarttags" w:element="PersonName">
        <w:smartTagPr>
          <w:attr w:name="ProductID" w:val="la Superintendencia Bancaria."/>
        </w:smartTagPr>
        <w:r w:rsidRPr="00AA1B50">
          <w:rPr>
            <w:rFonts w:ascii="Arial" w:hAnsi="Arial" w:cs="Arial"/>
            <w:i/>
            <w:sz w:val="24"/>
            <w:szCs w:val="24"/>
          </w:rPr>
          <w:t>la Superintendencia Bancaria.</w:t>
        </w:r>
      </w:smartTag>
    </w:p>
    <w:p w:rsidR="008252F6" w:rsidRPr="00AA1B50" w:rsidRDefault="008252F6" w:rsidP="008252F6">
      <w:pPr>
        <w:ind w:left="539" w:right="561"/>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Igualmente se debe precisar que el acatamiento que en materia contable deben las normas generales expedidas por los órganos de control como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xml:space="preserve"> (hoy Superfinanciera) a los principios de contabilidad de general aceptación, en virtud del principio de legalidad, no descarta que  cuando en algún asunto específico propio de la actividad financiera que regula, se expida una disposición especial por las entidades de control y vigilancia éstas prevalecerán sobre las generales del Código de Comercio: Sobre el particular el artículo 2034 de éste último Estatuto prevé.</w:t>
      </w:r>
    </w:p>
    <w:p w:rsidR="008252F6" w:rsidRPr="00AA1B50" w:rsidRDefault="008252F6" w:rsidP="008252F6">
      <w:pPr>
        <w:ind w:left="539" w:right="459"/>
        <w:jc w:val="both"/>
        <w:rPr>
          <w:rFonts w:ascii="Arial" w:hAnsi="Arial" w:cs="Arial"/>
          <w:sz w:val="24"/>
          <w:szCs w:val="24"/>
        </w:rPr>
      </w:pPr>
      <w:r w:rsidRPr="00AA1B50">
        <w:rPr>
          <w:rFonts w:ascii="Arial" w:hAnsi="Arial" w:cs="Arial"/>
          <w:sz w:val="24"/>
          <w:szCs w:val="24"/>
        </w:rPr>
        <w:t xml:space="preserve">ARTICULO 2034. Corresponderá a </w:t>
      </w:r>
      <w:smartTag w:uri="urn:schemas-microsoft-com:office:smarttags" w:element="PersonName">
        <w:smartTagPr>
          <w:attr w:name="ProductID" w:val="la Superintendencia Bancaria"/>
        </w:smartTagPr>
        <w:r w:rsidRPr="00AA1B50">
          <w:rPr>
            <w:rFonts w:ascii="Arial" w:hAnsi="Arial" w:cs="Arial"/>
            <w:sz w:val="24"/>
            <w:szCs w:val="24"/>
          </w:rPr>
          <w:t>la Superintendencia Bancaria</w:t>
        </w:r>
      </w:smartTag>
      <w:r w:rsidRPr="00AA1B50">
        <w:rPr>
          <w:rFonts w:ascii="Arial" w:hAnsi="Arial" w:cs="Arial"/>
          <w:sz w:val="24"/>
          <w:szCs w:val="24"/>
        </w:rPr>
        <w:t>, en relación con las sociedades cuya inspección y vigilancia ejerce, hacer cumplir las disposiciones de este libro en todo cuanto no pugnen con las normas imperativas de carácter especial.</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El Decreto 2649 de 1993 en su capítulo III (artículos 5° a 18) contiene  las normas básicas de la información contable, definidas como “el conjunto de postulados, conceptos y limitaciones, que fundamentan y circunscriben la información contable”. Dentro de ellas revisten especial  interés para este proceso las normas sobre asociación o relación de causalidad (artículo 13) y la de las características y prácticas de cada actividad (artículo 18).</w:t>
      </w:r>
    </w:p>
    <w:p w:rsidR="008252F6" w:rsidRPr="00AA1B50" w:rsidRDefault="008252F6" w:rsidP="008252F6">
      <w:pPr>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El </w:t>
      </w:r>
      <w:r w:rsidRPr="00AA1B50">
        <w:rPr>
          <w:rFonts w:ascii="Arial" w:hAnsi="Arial" w:cs="Arial"/>
          <w:b/>
          <w:sz w:val="24"/>
          <w:szCs w:val="24"/>
        </w:rPr>
        <w:t>principio de asociación o relación de causalidad</w:t>
      </w:r>
      <w:r w:rsidRPr="00AA1B50">
        <w:rPr>
          <w:rFonts w:ascii="Arial" w:hAnsi="Arial" w:cs="Arial"/>
          <w:sz w:val="24"/>
          <w:szCs w:val="24"/>
        </w:rPr>
        <w:t xml:space="preserve"> indica que se deben asociar los ingresos devengados o recibidos con los costos y gastos incurridos para producir tales ingresos, registrando unos y otros simultáneamente en las cuentas de resultados. Esta norma básica implica que con el fin de lograr que los resultados de cada período muestren un valor confiable y demostrativo de la realidad económica del ente económico, los costos y gastos realizados en el período que sean necesarios para la obtención de los ingresos por el mismo período deben contabilizarse simultáneamente.</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Por su parte para lograr la satisfacción de las cualidades de la </w:t>
      </w:r>
      <w:proofErr w:type="gramStart"/>
      <w:r w:rsidRPr="00AA1B50">
        <w:rPr>
          <w:rFonts w:ascii="Arial" w:hAnsi="Arial" w:cs="Arial"/>
          <w:sz w:val="24"/>
          <w:szCs w:val="24"/>
        </w:rPr>
        <w:t xml:space="preserve">información </w:t>
      </w:r>
      <w:proofErr w:type="gramEnd"/>
      <w:r w:rsidRPr="00AA1B50">
        <w:rPr>
          <w:rStyle w:val="Refdenotaalpie"/>
        </w:rPr>
        <w:footnoteReference w:id="5"/>
      </w:r>
      <w:r w:rsidRPr="00AA1B50">
        <w:rPr>
          <w:rFonts w:ascii="Arial" w:hAnsi="Arial" w:cs="Arial"/>
          <w:sz w:val="24"/>
          <w:szCs w:val="24"/>
        </w:rPr>
        <w:t xml:space="preserve">, la norma básica de las </w:t>
      </w:r>
      <w:r w:rsidRPr="00AA1B50">
        <w:rPr>
          <w:rFonts w:ascii="Arial" w:hAnsi="Arial" w:cs="Arial"/>
          <w:b/>
          <w:sz w:val="24"/>
          <w:szCs w:val="24"/>
        </w:rPr>
        <w:t>características y prácticas de cada actividad</w:t>
      </w:r>
      <w:r w:rsidRPr="00AA1B50">
        <w:rPr>
          <w:rFonts w:ascii="Arial" w:hAnsi="Arial" w:cs="Arial"/>
          <w:sz w:val="24"/>
          <w:szCs w:val="24"/>
        </w:rPr>
        <w:t>, implica que la contabilidad debe diseñarse considerando las limitaciones razonablemente impuestas por las particularidades y prácticas de cada actividad, tales como la naturaleza de sus operaciones, ubicación geográfica, desarrollo social, económico o tecnológico.</w:t>
      </w:r>
    </w:p>
    <w:p w:rsidR="008252F6" w:rsidRPr="00AA1B50" w:rsidRDefault="008252F6" w:rsidP="008252F6">
      <w:pPr>
        <w:ind w:firstLine="709"/>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 xml:space="preserve">Otro de los aspectos que interesan en el sub lite es hacer claridad sobre la naturaleza del bien construído por la entidad fiduciaria a raíz del encargo que le fue otorgado por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en desarrollo del contrato de fiducia mercantil irrevocable de administración, garantía y fuente de pago, firmado el 31 de julio de 1995. Por lo tanto, le corresponde a </w:t>
      </w:r>
      <w:smartTag w:uri="urn:schemas-microsoft-com:office:smarttags" w:element="PersonName">
        <w:smartTagPr>
          <w:attr w:name="ProductID" w:val="la Sala"/>
        </w:smartTagPr>
        <w:r w:rsidRPr="00AA1B50">
          <w:rPr>
            <w:rFonts w:ascii="Arial" w:hAnsi="Arial" w:cs="Arial"/>
            <w:sz w:val="24"/>
            <w:szCs w:val="24"/>
          </w:rPr>
          <w:t>la Sala</w:t>
        </w:r>
      </w:smartTag>
      <w:r w:rsidRPr="00AA1B50">
        <w:rPr>
          <w:rFonts w:ascii="Arial" w:hAnsi="Arial" w:cs="Arial"/>
          <w:sz w:val="24"/>
          <w:szCs w:val="24"/>
        </w:rPr>
        <w:t xml:space="preserve">, determinar si la estación de gas licuado que debía construirse para darla en arriendo y luego en venta a ECOPETROL tenía la naturaleza de  propiedad, planta y equipo conocido en la </w:t>
      </w:r>
      <w:r w:rsidRPr="00AA1B50">
        <w:rPr>
          <w:rFonts w:ascii="Arial" w:hAnsi="Arial" w:cs="Arial"/>
          <w:sz w:val="24"/>
          <w:szCs w:val="24"/>
        </w:rPr>
        <w:lastRenderedPageBreak/>
        <w:t>terminología tributaria como activos fijos, como lo afirma la apelante o constituía un activo movible (mercancía) como lo afirma la demandada.</w:t>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Las normas contables pertinentes del decreto 2649 de 1993 las definen así:</w:t>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widowControl w:val="0"/>
        <w:tabs>
          <w:tab w:val="left" w:pos="204"/>
        </w:tabs>
        <w:ind w:left="540" w:right="279"/>
        <w:jc w:val="both"/>
        <w:rPr>
          <w:rFonts w:ascii="Arial" w:hAnsi="Arial" w:cs="Arial"/>
          <w:sz w:val="24"/>
          <w:szCs w:val="24"/>
        </w:rPr>
      </w:pPr>
      <w:r w:rsidRPr="00AA1B50">
        <w:rPr>
          <w:rFonts w:ascii="Arial" w:hAnsi="Arial" w:cs="Arial"/>
          <w:b/>
          <w:sz w:val="24"/>
          <w:szCs w:val="24"/>
        </w:rPr>
        <w:t>Decreto 2649/93 artículo 64. Propiedades, planta y equipo</w:t>
      </w:r>
      <w:r w:rsidRPr="00AA1B50">
        <w:rPr>
          <w:rFonts w:ascii="Arial" w:hAnsi="Arial" w:cs="Arial"/>
          <w:sz w:val="24"/>
          <w:szCs w:val="24"/>
        </w:rPr>
        <w:t xml:space="preserve">. Las propiedades, planta y equipo, representan los activos tangibles adquiridos, construídos o en proceso de construcción, con la intención de emplearlos en forma permanente, para la producción o suministro de otros bienes y servicios, </w:t>
      </w:r>
      <w:r w:rsidRPr="00AA1B50">
        <w:rPr>
          <w:rFonts w:ascii="Arial" w:hAnsi="Arial" w:cs="Arial"/>
          <w:b/>
          <w:sz w:val="24"/>
          <w:szCs w:val="24"/>
        </w:rPr>
        <w:t>para arrendarlos</w:t>
      </w:r>
      <w:r w:rsidRPr="00AA1B50">
        <w:rPr>
          <w:rFonts w:ascii="Arial" w:hAnsi="Arial" w:cs="Arial"/>
          <w:sz w:val="24"/>
          <w:szCs w:val="24"/>
        </w:rPr>
        <w:t xml:space="preserve">, o para usarlos en la administración del ente económico, que </w:t>
      </w:r>
      <w:r w:rsidRPr="00AA1B50">
        <w:rPr>
          <w:rFonts w:ascii="Arial" w:hAnsi="Arial" w:cs="Arial"/>
          <w:b/>
          <w:sz w:val="24"/>
          <w:szCs w:val="24"/>
        </w:rPr>
        <w:t>no están destinados para la venta en el curso normal de los negocios</w:t>
      </w:r>
      <w:r w:rsidRPr="00AA1B50">
        <w:rPr>
          <w:rFonts w:ascii="Arial" w:hAnsi="Arial" w:cs="Arial"/>
          <w:sz w:val="24"/>
          <w:szCs w:val="24"/>
        </w:rPr>
        <w:t xml:space="preserve"> y cuya vida útil excede de un año.</w:t>
      </w:r>
    </w:p>
    <w:p w:rsidR="008252F6" w:rsidRPr="00AA1B50" w:rsidRDefault="008252F6" w:rsidP="008252F6">
      <w:pPr>
        <w:widowControl w:val="0"/>
        <w:tabs>
          <w:tab w:val="left" w:pos="204"/>
        </w:tabs>
        <w:ind w:left="540" w:right="279"/>
        <w:jc w:val="both"/>
        <w:rPr>
          <w:rFonts w:ascii="Arial" w:hAnsi="Arial" w:cs="Arial"/>
          <w:sz w:val="24"/>
          <w:szCs w:val="24"/>
        </w:rPr>
      </w:pPr>
    </w:p>
    <w:p w:rsidR="008252F6" w:rsidRPr="00AA1B50" w:rsidRDefault="008252F6" w:rsidP="008252F6">
      <w:pPr>
        <w:widowControl w:val="0"/>
        <w:tabs>
          <w:tab w:val="left" w:pos="204"/>
        </w:tabs>
        <w:ind w:left="540" w:right="279"/>
        <w:jc w:val="both"/>
        <w:rPr>
          <w:rFonts w:ascii="Arial" w:hAnsi="Arial" w:cs="Arial"/>
          <w:sz w:val="24"/>
          <w:szCs w:val="24"/>
        </w:rPr>
      </w:pPr>
      <w:r w:rsidRPr="00AA1B50">
        <w:rPr>
          <w:rFonts w:ascii="Arial" w:hAnsi="Arial" w:cs="Arial"/>
          <w:sz w:val="24"/>
          <w:szCs w:val="24"/>
        </w:rPr>
        <w:t xml:space="preserve">El valor histórico de estos activos incluye todas las erogaciones y cargos necesarios </w:t>
      </w:r>
      <w:r w:rsidRPr="00AA1B50">
        <w:rPr>
          <w:rFonts w:ascii="Arial" w:hAnsi="Arial" w:cs="Arial"/>
          <w:b/>
          <w:sz w:val="24"/>
          <w:szCs w:val="24"/>
        </w:rPr>
        <w:t>hasta colocarlos en condiciones de utilización</w:t>
      </w:r>
      <w:r w:rsidRPr="00AA1B50">
        <w:rPr>
          <w:rFonts w:ascii="Arial" w:hAnsi="Arial" w:cs="Arial"/>
          <w:sz w:val="24"/>
          <w:szCs w:val="24"/>
        </w:rPr>
        <w:t>, tales como los de ingeniería, supervisión, impuestos, intereses, corrección monetaria proveniente del UPAC y ajuste por diferencia en cambio (se ha resaltado).</w:t>
      </w:r>
    </w:p>
    <w:p w:rsidR="008252F6" w:rsidRPr="00AA1B50" w:rsidRDefault="008252F6" w:rsidP="008252F6">
      <w:pPr>
        <w:widowControl w:val="0"/>
        <w:tabs>
          <w:tab w:val="left" w:pos="204"/>
        </w:tabs>
        <w:ind w:left="540" w:right="279"/>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 xml:space="preserve">Conforme a la definición anterior, la propiedad, planta y equipo mejor conocido como activos fijos, representa los activos o bienes de un ente económico que ordinariamente no están destinados para la venta, ya que no hacen parte del giro ordinario u objeto social principal, sin que esto signifique  que esté prohibida su enajenación. La propiedad de estos bienes tiene como finalidad utilizarlos para la producción, comercialización o prestación de servicios en desarrollo de su actividad principal, o bien para entregarlos en arrendamiento o usarlos en la administración de </w:t>
      </w:r>
      <w:smartTag w:uri="urn:schemas-microsoft-com:office:smarttags" w:element="PersonName">
        <w:smartTagPr>
          <w:attr w:name="ProductID" w:val="la empresa. Los"/>
        </w:smartTagPr>
        <w:r w:rsidRPr="00AA1B50">
          <w:rPr>
            <w:rFonts w:ascii="Arial" w:hAnsi="Arial" w:cs="Arial"/>
            <w:sz w:val="24"/>
            <w:szCs w:val="24"/>
          </w:rPr>
          <w:t>la empresa. Los</w:t>
        </w:r>
      </w:smartTag>
      <w:r w:rsidRPr="00AA1B50">
        <w:rPr>
          <w:rFonts w:ascii="Arial" w:hAnsi="Arial" w:cs="Arial"/>
          <w:sz w:val="24"/>
          <w:szCs w:val="24"/>
        </w:rPr>
        <w:t xml:space="preserve"> costos y gastos incurridos para su construcción o adquisición deben capitalizarse, esto es, llevarse como mayor valor de los mismos, hasta que el bien esté en condiciones de utilización.</w:t>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Por su parte el artículo 63 del mismo Decreto, define los inventarios de la siguiente manera:</w:t>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widowControl w:val="0"/>
        <w:tabs>
          <w:tab w:val="left" w:pos="204"/>
        </w:tabs>
        <w:ind w:left="540" w:right="459" w:firstLine="204"/>
        <w:jc w:val="both"/>
        <w:rPr>
          <w:rFonts w:ascii="Arial" w:hAnsi="Arial" w:cs="Arial"/>
          <w:sz w:val="24"/>
          <w:szCs w:val="24"/>
        </w:rPr>
      </w:pPr>
      <w:r w:rsidRPr="00AA1B50">
        <w:rPr>
          <w:rFonts w:ascii="Arial" w:hAnsi="Arial" w:cs="Arial"/>
          <w:b/>
          <w:sz w:val="24"/>
          <w:szCs w:val="24"/>
        </w:rPr>
        <w:t>“ARTICULO 63. Inventarios,</w:t>
      </w:r>
      <w:r w:rsidRPr="00AA1B50">
        <w:rPr>
          <w:rFonts w:ascii="Arial" w:hAnsi="Arial" w:cs="Arial"/>
          <w:sz w:val="24"/>
          <w:szCs w:val="24"/>
        </w:rPr>
        <w:t xml:space="preserve"> Los inventarios representan bienes corporales destinados a la venta en el curso normal de los negocios, así como aquellos que se hallan en proceso de producción o que se utilizarán o consumirían en la producción de otros que van a ser vendidos.</w:t>
      </w:r>
    </w:p>
    <w:p w:rsidR="008252F6" w:rsidRPr="00AA1B50" w:rsidRDefault="008252F6" w:rsidP="008252F6">
      <w:pPr>
        <w:widowControl w:val="0"/>
        <w:tabs>
          <w:tab w:val="left" w:pos="204"/>
        </w:tabs>
        <w:ind w:left="540" w:right="459" w:firstLine="204"/>
        <w:jc w:val="both"/>
        <w:rPr>
          <w:rFonts w:ascii="Arial" w:hAnsi="Arial" w:cs="Arial"/>
          <w:sz w:val="24"/>
          <w:szCs w:val="24"/>
        </w:rPr>
      </w:pPr>
    </w:p>
    <w:p w:rsidR="008252F6" w:rsidRPr="00AA1B50" w:rsidRDefault="008252F6" w:rsidP="008252F6">
      <w:pPr>
        <w:widowControl w:val="0"/>
        <w:tabs>
          <w:tab w:val="left" w:pos="204"/>
        </w:tabs>
        <w:ind w:left="540" w:right="459" w:firstLine="204"/>
        <w:jc w:val="both"/>
        <w:rPr>
          <w:rFonts w:ascii="Arial" w:hAnsi="Arial" w:cs="Arial"/>
          <w:sz w:val="24"/>
          <w:szCs w:val="24"/>
        </w:rPr>
      </w:pPr>
      <w:r w:rsidRPr="00AA1B50">
        <w:rPr>
          <w:rFonts w:ascii="Arial" w:hAnsi="Arial" w:cs="Arial"/>
          <w:sz w:val="24"/>
          <w:szCs w:val="24"/>
        </w:rPr>
        <w:t>El valor de los inventarios, el cual incluye todas las erogaciones y los cargos directos e indirectos necesarios para ponerlos en condiciones de utilización o venta, se debe determinar mediante el método PEPS (primeros en entrar primeros en salir), UEPS (últimos en entrar primeros en salir), el de identificación específica o el promedio ponderado….”</w:t>
      </w:r>
    </w:p>
    <w:p w:rsidR="008252F6" w:rsidRPr="00AA1B50" w:rsidRDefault="008252F6" w:rsidP="008252F6">
      <w:pPr>
        <w:widowControl w:val="0"/>
        <w:tabs>
          <w:tab w:val="left" w:pos="204"/>
        </w:tabs>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 xml:space="preserve">Como puede apreciarse de la definición parcialmente transcrita, los inventarios, hacen referencia a los bienes corporales que en virtud del objeto </w:t>
      </w:r>
      <w:r w:rsidRPr="00AA1B50">
        <w:rPr>
          <w:rFonts w:ascii="Arial" w:hAnsi="Arial" w:cs="Arial"/>
          <w:sz w:val="24"/>
          <w:szCs w:val="24"/>
        </w:rPr>
        <w:lastRenderedPageBreak/>
        <w:t>social o actividades económicas llevadas a cabo por el ente económico, están destinados para la venta, incluyendo aquellos que están en proceso de producción o las materias primas o materiales que se utilizarán para producir los productos terminados. Al igual que los activos fijos, su costo histórico debe incluir todas las erogaciones necesarias para ponerlos en condiciones de utilización dentro del proceso productivo o para su enajenación, principal propósito de su existencia.</w:t>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 xml:space="preserve">En el ámbito fiscal, los activos fijos y movibles son definidos así por el del artículo 60 del Estatuto Tributario: </w:t>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widowControl w:val="0"/>
        <w:tabs>
          <w:tab w:val="left" w:pos="204"/>
        </w:tabs>
        <w:ind w:left="540" w:right="459"/>
        <w:jc w:val="both"/>
        <w:rPr>
          <w:rFonts w:ascii="Arial" w:hAnsi="Arial" w:cs="Arial"/>
          <w:sz w:val="24"/>
          <w:szCs w:val="24"/>
        </w:rPr>
      </w:pPr>
      <w:r w:rsidRPr="00AA1B50">
        <w:rPr>
          <w:rFonts w:ascii="Arial" w:hAnsi="Arial" w:cs="Arial"/>
          <w:sz w:val="24"/>
          <w:szCs w:val="24"/>
        </w:rPr>
        <w:t>“Son activos fijos movibles los bienes corporales muebles o inmuebles y los incorporales que se enajenan dentro del giro ordinario de los negocios del contribuyente e implican ordinariamente existencias al principio y al fin de cada año o período gravable.</w:t>
      </w:r>
    </w:p>
    <w:p w:rsidR="008252F6" w:rsidRPr="00AA1B50" w:rsidRDefault="008252F6" w:rsidP="008252F6">
      <w:pPr>
        <w:widowControl w:val="0"/>
        <w:tabs>
          <w:tab w:val="left" w:pos="204"/>
        </w:tabs>
        <w:ind w:left="540" w:right="459"/>
        <w:jc w:val="both"/>
        <w:rPr>
          <w:rFonts w:ascii="Arial" w:hAnsi="Arial" w:cs="Arial"/>
          <w:sz w:val="24"/>
          <w:szCs w:val="24"/>
        </w:rPr>
      </w:pPr>
    </w:p>
    <w:p w:rsidR="008252F6" w:rsidRPr="00AA1B50" w:rsidRDefault="008252F6" w:rsidP="008252F6">
      <w:pPr>
        <w:widowControl w:val="0"/>
        <w:tabs>
          <w:tab w:val="left" w:pos="204"/>
        </w:tabs>
        <w:ind w:left="540" w:right="459"/>
        <w:jc w:val="both"/>
        <w:rPr>
          <w:rFonts w:ascii="Arial" w:hAnsi="Arial" w:cs="Arial"/>
          <w:sz w:val="24"/>
          <w:szCs w:val="24"/>
        </w:rPr>
      </w:pPr>
      <w:r w:rsidRPr="00AA1B50">
        <w:rPr>
          <w:rFonts w:ascii="Arial" w:hAnsi="Arial" w:cs="Arial"/>
          <w:sz w:val="24"/>
          <w:szCs w:val="24"/>
        </w:rPr>
        <w:t>Son activos fijos o inmovilizados los bienes corporales muebles o inmuebles y los incorporales que no se enajenan dentro del giro ordinario de los negocios del contribuyente”.</w:t>
      </w:r>
    </w:p>
    <w:p w:rsidR="008252F6" w:rsidRPr="00AA1B50" w:rsidRDefault="008252F6" w:rsidP="008252F6">
      <w:pPr>
        <w:widowControl w:val="0"/>
        <w:tabs>
          <w:tab w:val="left" w:pos="204"/>
        </w:tabs>
        <w:jc w:val="both"/>
        <w:rPr>
          <w:rFonts w:ascii="Arial" w:hAnsi="Arial" w:cs="Arial"/>
          <w:sz w:val="24"/>
          <w:szCs w:val="24"/>
        </w:rPr>
      </w:pPr>
    </w:p>
    <w:p w:rsidR="008252F6" w:rsidRPr="00AA1B50" w:rsidRDefault="008252F6" w:rsidP="008252F6">
      <w:pPr>
        <w:widowControl w:val="0"/>
        <w:tabs>
          <w:tab w:val="left" w:pos="204"/>
        </w:tabs>
        <w:jc w:val="both"/>
        <w:rPr>
          <w:rFonts w:ascii="Arial" w:hAnsi="Arial" w:cs="Arial"/>
          <w:sz w:val="24"/>
          <w:szCs w:val="24"/>
        </w:rPr>
      </w:pPr>
      <w:r w:rsidRPr="00AA1B50">
        <w:rPr>
          <w:rFonts w:ascii="Arial" w:hAnsi="Arial" w:cs="Arial"/>
          <w:sz w:val="24"/>
          <w:szCs w:val="24"/>
        </w:rPr>
        <w:t xml:space="preserve">Aquí es pertinente traer a colación, el criterio jurisprudencial que </w:t>
      </w:r>
      <w:smartTag w:uri="urn:schemas-microsoft-com:office:smarttags" w:element="PersonName">
        <w:smartTagPr>
          <w:attr w:name="ProductID" w:val="la Sala"/>
        </w:smartTagPr>
        <w:r w:rsidRPr="00AA1B50">
          <w:rPr>
            <w:rFonts w:ascii="Arial" w:hAnsi="Arial" w:cs="Arial"/>
            <w:sz w:val="24"/>
            <w:szCs w:val="24"/>
          </w:rPr>
          <w:t>la Sala</w:t>
        </w:r>
      </w:smartTag>
      <w:r w:rsidRPr="00AA1B50">
        <w:rPr>
          <w:rFonts w:ascii="Arial" w:hAnsi="Arial" w:cs="Arial"/>
          <w:sz w:val="24"/>
          <w:szCs w:val="24"/>
        </w:rPr>
        <w:t xml:space="preserve"> ha manifestado en relación con la diferencia entre activo fijo y movible (inventarios) en el ámbito tributario, aplicable también al contable dada sus innegables semejanzas. Se ha dicho que no define “…</w:t>
      </w:r>
      <w:r w:rsidRPr="00AA1B50">
        <w:rPr>
          <w:rFonts w:ascii="Arial" w:hAnsi="Arial" w:cs="Arial"/>
          <w:i/>
          <w:sz w:val="24"/>
          <w:szCs w:val="24"/>
        </w:rPr>
        <w:t>la naturaleza del activo fijo la circunstancia de que el activo haya producido ingresos, pues la producción o ausencia de ingresos es irrelevante para certificar el carácter de fijo o movible de un bien. Lo relevante para la determinación de la naturaleza de un bien como fijo o movible está dado por su destinación y si la misma corresponde al giro ordinario de los negocios del contribuyente”</w:t>
      </w:r>
      <w:r w:rsidRPr="00AA1B50">
        <w:rPr>
          <w:rFonts w:ascii="Arial" w:hAnsi="Arial" w:cs="Arial"/>
          <w:sz w:val="24"/>
          <w:szCs w:val="24"/>
        </w:rPr>
        <w:t>.</w:t>
      </w:r>
      <w:r w:rsidRPr="00AA1B50">
        <w:rPr>
          <w:rStyle w:val="Refdenotaalpie"/>
        </w:rPr>
        <w:footnoteReference w:id="6"/>
      </w:r>
    </w:p>
    <w:p w:rsidR="008252F6" w:rsidRPr="00AA1B50" w:rsidRDefault="008252F6" w:rsidP="008252F6">
      <w:pPr>
        <w:widowControl w:val="0"/>
        <w:tabs>
          <w:tab w:val="left" w:pos="204"/>
        </w:tabs>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En el sub lite, lo primero que hay que establecer es la naturaleza del bien inmueble que en desarrollo del contrato de obra y la cesión de los de arrendamiento y compra venta, </w:t>
      </w: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debía construir para entregarlo a ECOPETROL a través de la sociedad fiduciaria. Según el objeto del fideicomiso (cláusula novena del contrato), el fideicomitente o sea </w:t>
      </w:r>
      <w:smartTag w:uri="urn:schemas-microsoft-com:office:smarttags" w:element="PersonName">
        <w:smartTagPr>
          <w:attr w:name="ProductID" w:val="la Uni￳n Temporal Impsa-Foster"/>
        </w:smartTagPr>
        <w:smartTag w:uri="urn:schemas-microsoft-com:office:smarttags" w:element="PersonName">
          <w:smartTagPr>
            <w:attr w:name="ProductID" w:val="la Uni￳n Temporal"/>
          </w:smartTagPr>
          <w:r w:rsidRPr="00AA1B50">
            <w:rPr>
              <w:rFonts w:ascii="Arial" w:hAnsi="Arial" w:cs="Arial"/>
              <w:sz w:val="24"/>
              <w:szCs w:val="24"/>
            </w:rPr>
            <w:t>la Unión Temporal</w:t>
          </w:r>
        </w:smartTag>
        <w:r w:rsidRPr="00AA1B50">
          <w:rPr>
            <w:rFonts w:ascii="Arial" w:hAnsi="Arial" w:cs="Arial"/>
            <w:sz w:val="24"/>
            <w:szCs w:val="24"/>
          </w:rPr>
          <w:t xml:space="preserve"> IMPSA-FOSTER</w:t>
        </w:r>
      </w:smartTag>
      <w:r w:rsidRPr="00AA1B50">
        <w:rPr>
          <w:rFonts w:ascii="Arial" w:hAnsi="Arial" w:cs="Arial"/>
          <w:sz w:val="24"/>
          <w:szCs w:val="24"/>
        </w:rPr>
        <w:t>-EIFFEL en calidad de constructor mediante un contrato de obra se obligó a construir la estación de gas licuado conforme a las especificaciones contenidas en esa cláusula.</w:t>
      </w: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 </w:t>
      </w: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De manera que el bien inmueble denominado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que comprendía entre otros, cinco tanques de 15000 barriles cada uno, sistema de bombeo de refuerzo, sistema de tea incluído el sistema de relevo, sistema de protección contra incendio, edificio para el cuarto de control de subestación eléctrica y comunicaciones, constituía en ese momento para el fideicomitente un inventario o activo movible como quiera que representaba el objeto del contrato de obra </w:t>
      </w:r>
      <w:r w:rsidRPr="00AA1B50">
        <w:rPr>
          <w:rFonts w:ascii="Arial" w:hAnsi="Arial" w:cs="Arial"/>
          <w:sz w:val="24"/>
          <w:szCs w:val="24"/>
        </w:rPr>
        <w:lastRenderedPageBreak/>
        <w:t xml:space="preserve">suscrito con la sociedad fiduciaria Anglo FIDUANGLO, naturaleza que no variaba para la fiduciaria a partir de su entrega en arrendamiento a ECOPETROL ya que aplicando el precedente jurisprudencial antes anotado, el percibir ingresos no es un factor relevante tratándose de un bien, para considerarse fijo o movible, sino su destinación, y en este caso, la destinación y objeto principal de los contratos de arrendamiento, promesa de compraventa y transferencia, era la adquisición de la estación de gas por parte de ECOPETROL, así durante los meses previos a la formalización de la venta, la empresa petrolera estuviera en calidad de arrendataria. De manera que dentro de una interpretación finalística de los artículos 63 y 64 del Decreto 2649 de 1993, el activo construído en virtud del contrato de fiducia suscrito entre la actora y </w:t>
      </w:r>
      <w:smartTag w:uri="urn:schemas-microsoft-com:office:smarttags" w:element="PersonName">
        <w:smartTagPr>
          <w:attr w:name="ProductID" w:val="la Uni￳n Temporal"/>
        </w:smartTagPr>
        <w:smartTag w:uri="urn:schemas-microsoft-com:office:smarttags" w:element="PersonName">
          <w:smartTagPr>
            <w:attr w:name="ProductID" w:val="la Uni￳n"/>
          </w:smartTagPr>
          <w:r w:rsidRPr="00AA1B50">
            <w:rPr>
              <w:rFonts w:ascii="Arial" w:hAnsi="Arial" w:cs="Arial"/>
              <w:sz w:val="24"/>
              <w:szCs w:val="24"/>
            </w:rPr>
            <w:t>la Unión</w:t>
          </w:r>
        </w:smartTag>
        <w:r w:rsidRPr="00AA1B50">
          <w:rPr>
            <w:rFonts w:ascii="Arial" w:hAnsi="Arial" w:cs="Arial"/>
            <w:sz w:val="24"/>
            <w:szCs w:val="24"/>
          </w:rPr>
          <w:t xml:space="preserve"> Temporal</w:t>
        </w:r>
      </w:smartTag>
      <w:r w:rsidRPr="00AA1B50">
        <w:rPr>
          <w:rFonts w:ascii="Arial" w:hAnsi="Arial" w:cs="Arial"/>
          <w:sz w:val="24"/>
          <w:szCs w:val="24"/>
        </w:rPr>
        <w:t xml:space="preserve"> como fideicomitente, tenía la naturaleza de inventario, dada su destinación final de estar destinado para la venta.</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Una vez dilucidada la naturaleza del bien objeto de la controversia contable que originó este proceso y descendiendo al caso concreto, tenemos que el punto central en discusión es si los costos y gastos incurridos por diferencia en cambio </w:t>
      </w:r>
      <w:r w:rsidRPr="00AA1B50">
        <w:rPr>
          <w:rStyle w:val="Refdenotaalpie"/>
        </w:rPr>
        <w:footnoteReference w:id="7"/>
      </w:r>
      <w:r w:rsidRPr="00AA1B50">
        <w:rPr>
          <w:rFonts w:ascii="Arial" w:hAnsi="Arial" w:cs="Arial"/>
          <w:sz w:val="24"/>
          <w:szCs w:val="24"/>
        </w:rPr>
        <w:t xml:space="preserve"> y por intereses para la financiación de las deudas contraídas para la construcción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de gas licuado que a partir de la terminación de la primera etapa, debían ser contabilizados en la cuenta 1915 (Cargos Diferidos) aunque ya se venían percibiendo ingresos por arrendamiento y el valor de la venta se recibiría en el año 2004.</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Para entender en mejor forma el planteamiento de la demandante, en considerar que tales egresos debían contabilizarse como cargos diferidos y no como gastos del ejercicio, es conveniente consultar lo preceptuado sobre esa clase de activos en el Decreto 2649 de 1993 en su parte pertinente:</w:t>
      </w:r>
    </w:p>
    <w:p w:rsidR="008252F6" w:rsidRPr="00AA1B50" w:rsidRDefault="008252F6" w:rsidP="008252F6">
      <w:pPr>
        <w:widowControl w:val="0"/>
        <w:tabs>
          <w:tab w:val="left" w:pos="204"/>
        </w:tabs>
        <w:jc w:val="both"/>
        <w:rPr>
          <w:rFonts w:ascii="Arial" w:hAnsi="Arial" w:cs="Arial"/>
          <w:sz w:val="24"/>
          <w:szCs w:val="24"/>
        </w:rPr>
      </w:pPr>
    </w:p>
    <w:p w:rsidR="008252F6" w:rsidRPr="00AA1B50" w:rsidRDefault="008252F6" w:rsidP="008252F6">
      <w:pPr>
        <w:widowControl w:val="0"/>
        <w:tabs>
          <w:tab w:val="left" w:pos="204"/>
        </w:tabs>
        <w:ind w:left="720" w:right="459"/>
        <w:jc w:val="both"/>
        <w:rPr>
          <w:rFonts w:ascii="Arial" w:hAnsi="Arial" w:cs="Arial"/>
          <w:sz w:val="24"/>
          <w:szCs w:val="24"/>
        </w:rPr>
      </w:pPr>
      <w:r w:rsidRPr="00AA1B50">
        <w:rPr>
          <w:rFonts w:ascii="Arial" w:hAnsi="Arial" w:cs="Arial"/>
          <w:b/>
          <w:sz w:val="24"/>
          <w:szCs w:val="24"/>
        </w:rPr>
        <w:t>ARTICUO 67. Activos diferidos</w:t>
      </w:r>
      <w:r w:rsidRPr="00AA1B50">
        <w:rPr>
          <w:rFonts w:ascii="Arial" w:hAnsi="Arial" w:cs="Arial"/>
          <w:sz w:val="24"/>
          <w:szCs w:val="24"/>
        </w:rPr>
        <w:t>. Deben reconocerse como activos diferidos los recursos, distintos de los regulados en los artículos anteriores, que correspondan a:</w:t>
      </w:r>
    </w:p>
    <w:p w:rsidR="008252F6" w:rsidRPr="00AA1B50" w:rsidRDefault="008252F6" w:rsidP="008252F6">
      <w:pPr>
        <w:widowControl w:val="0"/>
        <w:tabs>
          <w:tab w:val="left" w:pos="204"/>
        </w:tabs>
        <w:ind w:left="720" w:right="459"/>
        <w:jc w:val="both"/>
        <w:rPr>
          <w:rFonts w:ascii="Arial" w:hAnsi="Arial" w:cs="Arial"/>
          <w:sz w:val="24"/>
          <w:szCs w:val="24"/>
        </w:rPr>
      </w:pPr>
    </w:p>
    <w:p w:rsidR="008252F6" w:rsidRPr="00AA1B50" w:rsidRDefault="008252F6" w:rsidP="008252F6">
      <w:pPr>
        <w:widowControl w:val="0"/>
        <w:numPr>
          <w:ilvl w:val="0"/>
          <w:numId w:val="2"/>
        </w:numPr>
        <w:tabs>
          <w:tab w:val="left" w:pos="204"/>
        </w:tabs>
        <w:overflowPunct/>
        <w:ind w:right="459"/>
        <w:jc w:val="both"/>
        <w:textAlignment w:val="auto"/>
        <w:rPr>
          <w:rFonts w:ascii="Arial" w:hAnsi="Arial" w:cs="Arial"/>
          <w:sz w:val="24"/>
          <w:szCs w:val="24"/>
        </w:rPr>
      </w:pPr>
      <w:r w:rsidRPr="00AA1B50">
        <w:rPr>
          <w:rFonts w:ascii="Arial" w:hAnsi="Arial" w:cs="Arial"/>
          <w:sz w:val="24"/>
          <w:szCs w:val="24"/>
        </w:rPr>
        <w:t>Gastos anticipados, tales como intereses, seguros, arrendamientos y otros incurridos para recibir en el futuro servicios.</w:t>
      </w:r>
    </w:p>
    <w:p w:rsidR="008252F6" w:rsidRPr="00AA1B50" w:rsidRDefault="008252F6" w:rsidP="008252F6">
      <w:pPr>
        <w:widowControl w:val="0"/>
        <w:numPr>
          <w:ilvl w:val="1"/>
          <w:numId w:val="2"/>
        </w:numPr>
        <w:tabs>
          <w:tab w:val="left" w:pos="204"/>
        </w:tabs>
        <w:overflowPunct/>
        <w:ind w:left="720" w:right="459"/>
        <w:jc w:val="both"/>
        <w:textAlignment w:val="auto"/>
        <w:rPr>
          <w:rFonts w:ascii="Arial" w:hAnsi="Arial" w:cs="Arial"/>
          <w:sz w:val="24"/>
          <w:szCs w:val="24"/>
        </w:rPr>
      </w:pPr>
      <w:r w:rsidRPr="00AA1B50">
        <w:rPr>
          <w:rFonts w:ascii="Arial" w:hAnsi="Arial" w:cs="Arial"/>
          <w:b/>
          <w:sz w:val="24"/>
          <w:szCs w:val="24"/>
        </w:rPr>
        <w:t>Cargos diferidos, que representan bienes o servicios recibidos de los cuales se espera obtener beneficios económicos en otros períodos. Se deben registrar como cargos diferidos los costos incurridos durante las etapas de organización, construcción, instalación, montaje y puesta en marcha</w:t>
      </w:r>
      <w:r w:rsidRPr="00AA1B50">
        <w:rPr>
          <w:rFonts w:ascii="Arial" w:hAnsi="Arial" w:cs="Arial"/>
          <w:sz w:val="24"/>
          <w:szCs w:val="24"/>
        </w:rPr>
        <w:t>…</w:t>
      </w:r>
      <w:proofErr w:type="gramStart"/>
      <w:r w:rsidRPr="00AA1B50">
        <w:rPr>
          <w:rFonts w:ascii="Arial" w:hAnsi="Arial" w:cs="Arial"/>
          <w:sz w:val="24"/>
          <w:szCs w:val="24"/>
        </w:rPr>
        <w:t>.(</w:t>
      </w:r>
      <w:proofErr w:type="gramEnd"/>
      <w:r w:rsidRPr="00AA1B50">
        <w:rPr>
          <w:rFonts w:ascii="Arial" w:hAnsi="Arial" w:cs="Arial"/>
          <w:sz w:val="24"/>
          <w:szCs w:val="24"/>
        </w:rPr>
        <w:t>se ha resaltado).</w:t>
      </w:r>
    </w:p>
    <w:p w:rsidR="008252F6" w:rsidRPr="00AA1B50" w:rsidRDefault="008252F6" w:rsidP="008252F6">
      <w:pPr>
        <w:widowControl w:val="0"/>
        <w:tabs>
          <w:tab w:val="left" w:pos="204"/>
        </w:tabs>
        <w:jc w:val="both"/>
        <w:rPr>
          <w:rFonts w:ascii="Arial" w:hAnsi="Arial" w:cs="Arial"/>
          <w:sz w:val="24"/>
          <w:szCs w:val="24"/>
        </w:rPr>
      </w:pPr>
    </w:p>
    <w:p w:rsidR="008252F6" w:rsidRPr="00AA1B50" w:rsidRDefault="008252F6" w:rsidP="008252F6">
      <w:pPr>
        <w:widowControl w:val="0"/>
        <w:tabs>
          <w:tab w:val="left" w:pos="204"/>
        </w:tabs>
        <w:ind w:firstLine="720"/>
        <w:jc w:val="both"/>
        <w:rPr>
          <w:rFonts w:ascii="Arial" w:hAnsi="Arial" w:cs="Arial"/>
          <w:sz w:val="24"/>
          <w:szCs w:val="24"/>
        </w:rPr>
      </w:pPr>
      <w:r w:rsidRPr="00AA1B50">
        <w:rPr>
          <w:rFonts w:ascii="Arial" w:hAnsi="Arial" w:cs="Arial"/>
          <w:sz w:val="24"/>
          <w:szCs w:val="24"/>
        </w:rPr>
        <w:t xml:space="preserve">Como puede apreciarse, la norma técnica específica para los cargos </w:t>
      </w:r>
      <w:r w:rsidRPr="00AA1B50">
        <w:rPr>
          <w:rFonts w:ascii="Arial" w:hAnsi="Arial" w:cs="Arial"/>
          <w:sz w:val="24"/>
          <w:szCs w:val="24"/>
        </w:rPr>
        <w:lastRenderedPageBreak/>
        <w:t xml:space="preserve">diferidos, indica que hacen relación a las erogaciones representadas en bienes y/o servicios en que se ha incurrido, las cuales no producirán ingreso en el período corriente, pero se tiene la expectativa de que se percibirán en un futuro, derivados de la realización de las actividades propias del objeto social. El motivo del aplazamiento o diferimiento para la obtención de ingresos se debe a las etapas de preparación, alistamiento y organización en que se encuentra el ente económico por lo cual tampoco es factible asociarle costos como lo señala el principio de asociación (Decreto 2649/93 artículo 13). </w:t>
      </w:r>
      <w:r w:rsidRPr="00AA1B50">
        <w:rPr>
          <w:rStyle w:val="Refdenotaalpie"/>
        </w:rPr>
        <w:footnoteReference w:id="8"/>
      </w:r>
    </w:p>
    <w:p w:rsidR="008252F6" w:rsidRPr="00AA1B50" w:rsidRDefault="008252F6" w:rsidP="008252F6">
      <w:pPr>
        <w:widowControl w:val="0"/>
        <w:tabs>
          <w:tab w:val="left" w:pos="204"/>
        </w:tabs>
        <w:ind w:firstLine="204"/>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Las erogaciones referentes a los intereses por financiación y la diferencia en cambio por las deudas contraídas en moneda extranjera para la construcción del bien movible, aunque se efectuaron cuando el activo ya estaba construído y se estaban percibiendo ingresos derivados del contrato de arrendamiento, su finalidad última y objeto primordial de la negociación era su enajenación, de la cual se irían a obtener ingresos al cabo de los 83 cánones y de los anticipos al precio de la compraventa que se recibirían de ECOPETROL hasta llegar al año 2004 cuando éste último pagaría la suma de US 55.831.153 como precio de la compra venta. La enajenación de un bien en una fecha futura determinada, significa en este caso de un contrato atípico como lo es de APT – Arrendamiento, Promesa de Compraventa y Transferencia que se haría en el curso normal de los negocios, aunque su  negociabilidad estuviera condicionada. La percepción de los ingresos por arrendamiento, no era el objeto principal de la constitución del fideicomiso, sino su venta al terminar el período pactado, de manera que los gastos incurridos tenían la naturaleza de cargos diferidos, ya que representaban erogaciones de las cuales se percibirían ingresos en un futuro en desarrollo de su objeto social.</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Dada la atipicidad del contrato suscrito, el hecho que después de construído el inmueble, se recibieran por una parte ingresos por arrendamiento e igualmente anticipos al precio de la compraventa, no desvirtúa el carácter de diferidos de las erogaciones efectuadas, puesto que tales operaciones de carácter secundario frente al objeto social principal, eran transacciones de doble connotación: preliminares de carácter contractual propias del convenio realizado entre las </w:t>
      </w:r>
      <w:r w:rsidRPr="00AA1B50">
        <w:rPr>
          <w:rFonts w:ascii="Arial" w:hAnsi="Arial" w:cs="Arial"/>
          <w:sz w:val="24"/>
          <w:szCs w:val="24"/>
        </w:rPr>
        <w:lastRenderedPageBreak/>
        <w:t>partes  y, además, necesarias para llevar a cabo la voluntad real de los contratantes.</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Otra de las razones para sostener que las erogaciones por los intereses y la diferencia en cambio, que motivaron las glosas de </w:t>
      </w:r>
      <w:smartTag w:uri="urn:schemas-microsoft-com:office:smarttags" w:element="PersonName">
        <w:smartTagPr>
          <w:attr w:name="ProductID" w:val="la Superintendencia Bancaria"/>
        </w:smartTagP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Bancaria</w:t>
        </w:r>
      </w:smartTag>
      <w:r w:rsidRPr="00AA1B50">
        <w:rPr>
          <w:rFonts w:ascii="Arial" w:hAnsi="Arial" w:cs="Arial"/>
          <w:sz w:val="24"/>
          <w:szCs w:val="24"/>
        </w:rPr>
        <w:t xml:space="preserve"> (hoy Financiera), son cargos diferidos, es que el artículo 55 del Decreto 2649 de 1993 invocado por el a quo, señala que deben contabilizarse como diferidos los gastos hasta que el correspondiente beneficio económico esté totalmente consumido o perdido, beneficio que en este caso, eran los arriendos que mensualmente se recibían, de ahí que se considere correcto el registro contable como activos diferidos de los gastos incurridos en forma proporcional a los ingresos recibidos. </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Pero si quedara alguna duda sobre el manejo contable que debía darse a los gastos por intereses y diferencia en cambio por parte de la sociedad actora, </w:t>
      </w:r>
      <w:smartTag w:uri="urn:schemas-microsoft-com:office:smarttags" w:element="PersonName">
        <w:smartTagPr>
          <w:attr w:name="ProductID" w:val="la Sala"/>
        </w:smartTagPr>
        <w:r w:rsidRPr="00AA1B50">
          <w:rPr>
            <w:rFonts w:ascii="Arial" w:hAnsi="Arial" w:cs="Arial"/>
            <w:sz w:val="24"/>
            <w:szCs w:val="24"/>
          </w:rPr>
          <w:t>la Sala</w:t>
        </w:r>
      </w:smartTag>
      <w:r w:rsidRPr="00AA1B50">
        <w:rPr>
          <w:rFonts w:ascii="Arial" w:hAnsi="Arial" w:cs="Arial"/>
          <w:sz w:val="24"/>
          <w:szCs w:val="24"/>
        </w:rPr>
        <w:t xml:space="preserve"> advierte que tal como se dijo al comienzo de estas consideraciones, la contabilidad de los entes pertenecientes al sistema financiero, debe llevarse conforme a las normas generales previstas en la normatividad mercantil y contable en la medida que no riñan con las específicas señaladas por los órganos de control de aquellos. De manera que las normas básicas de la contabilidad mercantil reseñadas en la parte inicial del Decreto 2649 de 1993 son parámetros o directrices fundamentales a la hora de efectuar el registro contable de una transacción económica.</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Dentro de tales normas básicas o principios de general aceptación, está el de asociación (artículo 13) que tal como se explicó antes, implica que se deben asociar con los ingresos devengados o recibidos en cada período, los costos y gastos necesarios para producir tales ingresos, registrando unos y otros en cuentas de resultado, lo mismo que cuando no se pueda ubicar como ingreso, costo o gasto una partida y se concluya que no generará beneficios económicos en otros períodos. En este caso, los costos y gastos por financiación y ajuste por las deudas en moneda extranjera, que se capitalizaron como cargos diferidos, mientras se realizaba el ingreso generado en el año 2004 cuando se consolidaría la venta a ECOPETROL, estaban asociados con los ingresos obtenidos por el promitente vendedor con el fin de dar cumplimiento a la correlación entre ingresos y gastos, situación que continuaría una vez el activo fuera de propiedad de ECOPETROL cuando tales costos y gastos se asignarían a los ingresos generados durante la vigencia del contrato. Significa que si el correspondiente ajuste por diferencia en cambio o los intereses de financiación, se registran como gasto en el estado de pérdidas y ganancias, se produce la anticipación de un gasto y como consecuencia del desconocimiento de principio contable de la asociación dado que el ingreso devengado en años futuros, no se verá afectado con el gasto correlativo.</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De igual forma, el principio señalado en el artículo 18 del mismo Decreto 2649 de 1993, atinente a que para lograr las cualidades de comprensibilidad, utilidad y comparabilidad de la información, la contabilidad debe diseñarse de </w:t>
      </w:r>
      <w:r w:rsidRPr="00AA1B50">
        <w:rPr>
          <w:rFonts w:ascii="Arial" w:hAnsi="Arial" w:cs="Arial"/>
          <w:sz w:val="24"/>
          <w:szCs w:val="24"/>
        </w:rPr>
        <w:lastRenderedPageBreak/>
        <w:t>acuerdo a las limitaciones derivadas de las características y prácticas de cada negocio o actividad, se tiene que en este caso, el registro contable diseñado por la demandante, ante la particularidad del contrato suscrito, garantiza las cualidades que toda información financiera debe tener ya que permite mostrar la realidad o esencia sobre la forma de los recursos y hechos económicos de la entidad glosada (artículo 11 ibídem).</w:t>
      </w:r>
    </w:p>
    <w:p w:rsidR="008252F6" w:rsidRPr="00AA1B50" w:rsidRDefault="008252F6" w:rsidP="008252F6">
      <w:pPr>
        <w:ind w:firstLine="709"/>
        <w:jc w:val="both"/>
        <w:rPr>
          <w:rFonts w:ascii="Arial" w:hAnsi="Arial" w:cs="Arial"/>
          <w:sz w:val="24"/>
          <w:szCs w:val="24"/>
        </w:rPr>
      </w:pP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Por lo anterior, se revocará la sentencia apelada, ya que los pagos efectuados por diferencia en cambio y por intereses para la financiación de la obra denominada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debían llevarse como cargos diferidos y no como gastos al estado de resultados como lo ordenó </w:t>
      </w:r>
      <w:smartTag w:uri="urn:schemas-microsoft-com:office:smarttags" w:element="PersonName">
        <w:smartTagPr>
          <w:attr w:name="ProductID" w:val="la Superintendencia Bancaria"/>
        </w:smartTagPr>
        <w:smartTag w:uri="urn:schemas-microsoft-com:office:smarttags" w:element="PersonName">
          <w:smartTagPr>
            <w:attr w:name="ProductID" w:val="La Superintendencia"/>
          </w:smartTagPr>
          <w:r w:rsidRPr="00AA1B50">
            <w:rPr>
              <w:rFonts w:ascii="Arial" w:hAnsi="Arial" w:cs="Arial"/>
              <w:sz w:val="24"/>
              <w:szCs w:val="24"/>
            </w:rPr>
            <w:t>la Superintendencia</w:t>
          </w:r>
        </w:smartTag>
        <w:r w:rsidRPr="00AA1B50">
          <w:rPr>
            <w:rFonts w:ascii="Arial" w:hAnsi="Arial" w:cs="Arial"/>
            <w:sz w:val="24"/>
            <w:szCs w:val="24"/>
          </w:rPr>
          <w:t xml:space="preserve"> Bancaria</w:t>
        </w:r>
      </w:smartTag>
      <w:r w:rsidRPr="00AA1B50">
        <w:rPr>
          <w:rFonts w:ascii="Arial" w:hAnsi="Arial" w:cs="Arial"/>
          <w:sz w:val="24"/>
          <w:szCs w:val="24"/>
        </w:rPr>
        <w:t>, en acatamiento de las normas básicas y técnicas que señala el Decreto 2649 de 1993 y las normas específicas del sector financiero para este caso, además de su conformidad con los principios contables de general aceptación contenidos en tal Decreto.</w:t>
      </w: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 </w:t>
      </w:r>
    </w:p>
    <w:p w:rsidR="008252F6" w:rsidRPr="00AA1B50" w:rsidRDefault="008252F6" w:rsidP="008252F6">
      <w:pPr>
        <w:ind w:firstLine="709"/>
        <w:jc w:val="both"/>
        <w:rPr>
          <w:rFonts w:ascii="Arial" w:hAnsi="Arial" w:cs="Arial"/>
          <w:sz w:val="24"/>
          <w:szCs w:val="24"/>
        </w:rPr>
      </w:pPr>
      <w:r w:rsidRPr="00AA1B50">
        <w:rPr>
          <w:rFonts w:ascii="Arial" w:hAnsi="Arial" w:cs="Arial"/>
          <w:sz w:val="24"/>
          <w:szCs w:val="24"/>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AA1B50">
          <w:rPr>
            <w:rFonts w:ascii="Arial" w:hAnsi="Arial" w:cs="Arial"/>
            <w:sz w:val="24"/>
            <w:szCs w:val="24"/>
          </w:rPr>
          <w:t>la República</w:t>
        </w:r>
      </w:smartTag>
      <w:r w:rsidRPr="00AA1B50">
        <w:rPr>
          <w:rFonts w:ascii="Arial" w:hAnsi="Arial" w:cs="Arial"/>
          <w:sz w:val="24"/>
          <w:szCs w:val="24"/>
        </w:rPr>
        <w:t xml:space="preserve"> y por autoridad de la ley.</w:t>
      </w:r>
    </w:p>
    <w:p w:rsidR="008252F6" w:rsidRPr="00AA1B50" w:rsidRDefault="008252F6" w:rsidP="008252F6">
      <w:pPr>
        <w:pStyle w:val="BodyText2"/>
        <w:spacing w:line="240" w:lineRule="auto"/>
        <w:rPr>
          <w:rFonts w:ascii="Arial" w:hAnsi="Arial" w:cs="Arial"/>
          <w:sz w:val="24"/>
          <w:szCs w:val="24"/>
        </w:rPr>
      </w:pPr>
    </w:p>
    <w:p w:rsidR="008252F6" w:rsidRPr="00AA1B50" w:rsidRDefault="008252F6" w:rsidP="008252F6">
      <w:pPr>
        <w:pStyle w:val="BodyText2"/>
        <w:spacing w:line="240" w:lineRule="auto"/>
        <w:rPr>
          <w:rFonts w:ascii="Arial" w:hAnsi="Arial" w:cs="Arial"/>
          <w:sz w:val="24"/>
          <w:szCs w:val="24"/>
        </w:rPr>
      </w:pPr>
    </w:p>
    <w:p w:rsidR="008252F6" w:rsidRPr="00AA1B50" w:rsidRDefault="008252F6" w:rsidP="008252F6">
      <w:pPr>
        <w:tabs>
          <w:tab w:val="left" w:pos="-1440"/>
          <w:tab w:val="left" w:pos="-720"/>
        </w:tabs>
        <w:jc w:val="center"/>
        <w:rPr>
          <w:rFonts w:ascii="Arial" w:hAnsi="Arial" w:cs="Arial"/>
          <w:sz w:val="24"/>
          <w:szCs w:val="24"/>
        </w:rPr>
      </w:pPr>
      <w:r w:rsidRPr="00AA1B50">
        <w:rPr>
          <w:rFonts w:ascii="Arial" w:hAnsi="Arial" w:cs="Arial"/>
          <w:b/>
          <w:sz w:val="24"/>
          <w:szCs w:val="24"/>
        </w:rPr>
        <w:t xml:space="preserve">F A L L A: </w:t>
      </w:r>
    </w:p>
    <w:p w:rsidR="008252F6" w:rsidRPr="00AA1B50" w:rsidRDefault="008252F6" w:rsidP="008252F6">
      <w:pPr>
        <w:ind w:left="720" w:right="560"/>
        <w:jc w:val="both"/>
        <w:rPr>
          <w:rFonts w:ascii="Arial" w:hAnsi="Arial" w:cs="Arial"/>
          <w:sz w:val="24"/>
          <w:szCs w:val="24"/>
        </w:rPr>
      </w:pPr>
      <w:r w:rsidRPr="00AA1B50">
        <w:rPr>
          <w:rFonts w:ascii="Arial" w:hAnsi="Arial" w:cs="Arial"/>
          <w:sz w:val="24"/>
          <w:szCs w:val="24"/>
        </w:rPr>
        <w:tab/>
      </w:r>
    </w:p>
    <w:p w:rsidR="008252F6" w:rsidRPr="00AA1B50" w:rsidRDefault="008252F6" w:rsidP="008252F6">
      <w:pPr>
        <w:pStyle w:val="Textoindependiente"/>
        <w:spacing w:after="0"/>
        <w:jc w:val="both"/>
        <w:rPr>
          <w:rFonts w:ascii="Arial" w:hAnsi="Arial" w:cs="Arial"/>
        </w:rPr>
      </w:pPr>
      <w:r w:rsidRPr="00AA1B50">
        <w:rPr>
          <w:rFonts w:ascii="Arial" w:hAnsi="Arial" w:cs="Arial"/>
          <w:bCs/>
          <w:i/>
          <w:iCs/>
        </w:rPr>
        <w:t>1</w:t>
      </w:r>
      <w:r w:rsidRPr="00AA1B50">
        <w:rPr>
          <w:rFonts w:ascii="Arial" w:hAnsi="Arial" w:cs="Arial"/>
          <w:b/>
          <w:bCs/>
          <w:i/>
          <w:iCs/>
        </w:rPr>
        <w:t>.</w:t>
      </w:r>
      <w:r w:rsidRPr="00AA1B50">
        <w:rPr>
          <w:rFonts w:ascii="Arial" w:hAnsi="Arial" w:cs="Arial"/>
          <w:b/>
          <w:bCs/>
          <w:i/>
          <w:iCs/>
        </w:rPr>
        <w:tab/>
        <w:t xml:space="preserve">REVÓCASE </w:t>
      </w:r>
      <w:r w:rsidRPr="00AA1B50">
        <w:rPr>
          <w:rFonts w:ascii="Arial" w:hAnsi="Arial" w:cs="Arial"/>
        </w:rPr>
        <w:t xml:space="preserve">la sentencia del Tribunal Administrativo de Cundinamarca del 31 de enero de 2008, proferida dentro del proceso de nulidad y restablecimiento del derecho de </w:t>
      </w:r>
      <w:smartTag w:uri="urn:schemas-microsoft-com:office:smarttags" w:element="PersonName">
        <w:smartTagPr>
          <w:attr w:name="ProductID" w:val="la sociedad Lloyds Trust"/>
        </w:smartTagPr>
        <w:r w:rsidRPr="00AA1B50">
          <w:rPr>
            <w:rFonts w:ascii="Arial" w:hAnsi="Arial" w:cs="Arial"/>
          </w:rPr>
          <w:t xml:space="preserve">la sociedad </w:t>
        </w:r>
        <w:r w:rsidRPr="00AA1B50">
          <w:rPr>
            <w:rFonts w:ascii="Arial" w:hAnsi="Arial" w:cs="Arial"/>
            <w:b/>
          </w:rPr>
          <w:t>LLOYDS TRUST</w:t>
        </w:r>
      </w:smartTag>
      <w:r w:rsidRPr="00AA1B50">
        <w:rPr>
          <w:rFonts w:ascii="Arial" w:hAnsi="Arial" w:cs="Arial"/>
          <w:b/>
        </w:rPr>
        <w:t xml:space="preserve"> S.A.</w:t>
      </w:r>
      <w:r w:rsidRPr="00AA1B50">
        <w:rPr>
          <w:rFonts w:ascii="Arial" w:hAnsi="Arial" w:cs="Arial"/>
        </w:rPr>
        <w:t xml:space="preserve"> contra </w:t>
      </w:r>
      <w:smartTag w:uri="urn:schemas-microsoft-com:office:smarttags" w:element="PersonName">
        <w:smartTagPr>
          <w:attr w:name="ProductID" w:val="la Superintendencia Bancaria"/>
        </w:smartTagPr>
        <w:r w:rsidRPr="00AA1B50">
          <w:rPr>
            <w:rFonts w:ascii="Arial" w:hAnsi="Arial" w:cs="Arial"/>
          </w:rPr>
          <w:t>la Superintendencia Bancaria</w:t>
        </w:r>
      </w:smartTag>
      <w:r w:rsidRPr="00AA1B50">
        <w:rPr>
          <w:rFonts w:ascii="Arial" w:hAnsi="Arial" w:cs="Arial"/>
        </w:rPr>
        <w:t xml:space="preserve"> (hoy Financiera). En su lugar </w:t>
      </w:r>
      <w:r w:rsidRPr="00AA1B50">
        <w:rPr>
          <w:rFonts w:ascii="Arial" w:hAnsi="Arial" w:cs="Arial"/>
          <w:b/>
        </w:rPr>
        <w:t xml:space="preserve">DECLÁRASE </w:t>
      </w:r>
      <w:r w:rsidRPr="00AA1B50">
        <w:rPr>
          <w:rFonts w:ascii="Arial" w:hAnsi="Arial" w:cs="Arial"/>
        </w:rPr>
        <w:t xml:space="preserve">la nulidad de los Oficios Nos. 2002006091-1 del 4 de marzo de 2002 y 2002006091-4 del 2 de mayo de 2002 expedidos por el Director Técnico para Sociedades Fiduciarias de </w:t>
      </w:r>
      <w:smartTag w:uri="urn:schemas-microsoft-com:office:smarttags" w:element="PersonName">
        <w:smartTagPr>
          <w:attr w:name="ProductID" w:val="la Superintendencia Bancaria"/>
        </w:smartTagPr>
        <w:r w:rsidRPr="00AA1B50">
          <w:rPr>
            <w:rFonts w:ascii="Arial" w:hAnsi="Arial" w:cs="Arial"/>
          </w:rPr>
          <w:t>la Superintendencia Bancaria</w:t>
        </w:r>
      </w:smartTag>
      <w:r w:rsidRPr="00AA1B50">
        <w:rPr>
          <w:rFonts w:ascii="Arial" w:hAnsi="Arial" w:cs="Arial"/>
        </w:rPr>
        <w:t xml:space="preserve"> y del 2002006091-6 del 17 de junio de 2002 de </w:t>
      </w:r>
      <w:smartTag w:uri="urn:schemas-microsoft-com:office:smarttags" w:element="PersonName">
        <w:smartTagPr>
          <w:attr w:name="ProductID" w:val="la Superintendente Delegada"/>
        </w:smartTagPr>
        <w:r w:rsidRPr="00AA1B50">
          <w:rPr>
            <w:rFonts w:ascii="Arial" w:hAnsi="Arial" w:cs="Arial"/>
          </w:rPr>
          <w:t>la Superintendente Delegada</w:t>
        </w:r>
      </w:smartTag>
      <w:r w:rsidRPr="00AA1B50">
        <w:rPr>
          <w:rFonts w:ascii="Arial" w:hAnsi="Arial" w:cs="Arial"/>
        </w:rPr>
        <w:t xml:space="preserve"> para Entidades Administradoras de Pensiones y Cesantías.</w:t>
      </w:r>
    </w:p>
    <w:p w:rsidR="008252F6" w:rsidRPr="00AA1B50" w:rsidRDefault="008252F6" w:rsidP="008252F6">
      <w:pPr>
        <w:pStyle w:val="Textoindependiente"/>
        <w:spacing w:after="0"/>
        <w:jc w:val="both"/>
        <w:rPr>
          <w:rFonts w:ascii="Arial" w:hAnsi="Arial" w:cs="Arial"/>
        </w:rPr>
      </w:pPr>
    </w:p>
    <w:p w:rsidR="008252F6" w:rsidRPr="00AA1B50" w:rsidRDefault="008252F6" w:rsidP="008252F6">
      <w:pPr>
        <w:jc w:val="both"/>
        <w:rPr>
          <w:rFonts w:ascii="Arial" w:hAnsi="Arial" w:cs="Arial"/>
          <w:sz w:val="24"/>
          <w:szCs w:val="24"/>
        </w:rPr>
      </w:pPr>
      <w:r w:rsidRPr="00AA1B50">
        <w:rPr>
          <w:rFonts w:ascii="Arial" w:hAnsi="Arial" w:cs="Arial"/>
          <w:sz w:val="24"/>
          <w:szCs w:val="24"/>
        </w:rPr>
        <w:t xml:space="preserve">2.    A título de restablecimiento del derecho se </w:t>
      </w:r>
      <w:r w:rsidRPr="00AA1B50">
        <w:rPr>
          <w:rFonts w:ascii="Arial" w:hAnsi="Arial" w:cs="Arial"/>
          <w:b/>
          <w:sz w:val="24"/>
          <w:szCs w:val="24"/>
        </w:rPr>
        <w:t>ORDENA</w:t>
      </w:r>
      <w:r w:rsidRPr="00AA1B50">
        <w:rPr>
          <w:rFonts w:ascii="Arial" w:hAnsi="Arial" w:cs="Arial"/>
          <w:sz w:val="24"/>
          <w:szCs w:val="24"/>
        </w:rPr>
        <w:t xml:space="preserve"> reversar los asientos contables que registraron la totalidad de los costos y gastos financieros incurridos por el Fideicomiso Impsa-Foster-Eiffel en el Estado de Pérdidas y Ganancias de la sociedad en el año 2002 y se restituya la cuenta de Cargos Diferidos hasta la fecha de enajenación de </w:t>
      </w:r>
      <w:smartTag w:uri="urn:schemas-microsoft-com:office:smarttags" w:element="PersonName">
        <w:smartTagPr>
          <w:attr w:name="ProductID" w:val="la Estaci￳n"/>
        </w:smartTagPr>
        <w:r w:rsidRPr="00AA1B50">
          <w:rPr>
            <w:rFonts w:ascii="Arial" w:hAnsi="Arial" w:cs="Arial"/>
            <w:sz w:val="24"/>
            <w:szCs w:val="24"/>
          </w:rPr>
          <w:t>la Estación</w:t>
        </w:r>
      </w:smartTag>
      <w:r w:rsidRPr="00AA1B50">
        <w:rPr>
          <w:rFonts w:ascii="Arial" w:hAnsi="Arial" w:cs="Arial"/>
          <w:sz w:val="24"/>
          <w:szCs w:val="24"/>
        </w:rPr>
        <w:t xml:space="preserve"> de Gases Licuados a ECOPETROL.</w:t>
      </w:r>
    </w:p>
    <w:p w:rsidR="008252F6" w:rsidRPr="00AA1B50" w:rsidRDefault="008252F6" w:rsidP="008252F6">
      <w:pPr>
        <w:jc w:val="both"/>
        <w:rPr>
          <w:rFonts w:ascii="Arial" w:hAnsi="Arial" w:cs="Arial"/>
          <w:sz w:val="24"/>
          <w:szCs w:val="24"/>
        </w:rPr>
      </w:pPr>
    </w:p>
    <w:p w:rsidR="008252F6" w:rsidRPr="00AA1B50" w:rsidRDefault="008252F6" w:rsidP="008252F6">
      <w:pPr>
        <w:jc w:val="both"/>
        <w:rPr>
          <w:rFonts w:ascii="Arial" w:hAnsi="Arial" w:cs="Arial"/>
          <w:sz w:val="24"/>
          <w:szCs w:val="24"/>
        </w:rPr>
      </w:pPr>
    </w:p>
    <w:p w:rsidR="008252F6" w:rsidRPr="00AA1B50" w:rsidRDefault="008252F6" w:rsidP="008252F6">
      <w:pPr>
        <w:pStyle w:val="Textoindependiente"/>
        <w:spacing w:after="0"/>
        <w:jc w:val="both"/>
        <w:rPr>
          <w:rFonts w:ascii="Arial" w:hAnsi="Arial" w:cs="Arial"/>
        </w:rPr>
      </w:pPr>
    </w:p>
    <w:p w:rsidR="008252F6" w:rsidRPr="00AA1B50" w:rsidRDefault="008252F6" w:rsidP="008252F6">
      <w:pPr>
        <w:pStyle w:val="Textoindependiente"/>
        <w:spacing w:after="0"/>
        <w:jc w:val="both"/>
        <w:rPr>
          <w:rFonts w:ascii="Arial" w:hAnsi="Arial" w:cs="Arial"/>
        </w:rPr>
      </w:pPr>
      <w:r w:rsidRPr="00AA1B50">
        <w:rPr>
          <w:rFonts w:ascii="Arial" w:hAnsi="Arial" w:cs="Arial"/>
          <w:i/>
        </w:rPr>
        <w:t>3.</w:t>
      </w:r>
      <w:r w:rsidRPr="00AA1B50">
        <w:rPr>
          <w:rFonts w:ascii="Arial" w:hAnsi="Arial" w:cs="Arial"/>
          <w:b/>
          <w:i/>
        </w:rPr>
        <w:t xml:space="preserve">   RECONÓCESE</w:t>
      </w:r>
      <w:r w:rsidRPr="00AA1B50">
        <w:rPr>
          <w:rFonts w:ascii="Arial" w:hAnsi="Arial" w:cs="Arial"/>
        </w:rPr>
        <w:t xml:space="preserve"> personería a </w:t>
      </w:r>
      <w:smartTag w:uri="urn:schemas-microsoft-com:office:smarttags" w:element="PersonName">
        <w:smartTagPr>
          <w:attr w:name="ProductID" w:val="la abogada CONSTANZA CLAUDIA"/>
        </w:smartTagPr>
        <w:r w:rsidRPr="00AA1B50">
          <w:rPr>
            <w:rFonts w:ascii="Arial" w:hAnsi="Arial" w:cs="Arial"/>
          </w:rPr>
          <w:t xml:space="preserve">la abogada </w:t>
        </w:r>
        <w:r w:rsidRPr="00AA1B50">
          <w:rPr>
            <w:rFonts w:ascii="Arial" w:hAnsi="Arial" w:cs="Arial"/>
            <w:b/>
          </w:rPr>
          <w:t>CONSTANZA CLAUDIA</w:t>
        </w:r>
      </w:smartTag>
      <w:r w:rsidRPr="00AA1B50">
        <w:rPr>
          <w:rFonts w:ascii="Arial" w:hAnsi="Arial" w:cs="Arial"/>
          <w:b/>
        </w:rPr>
        <w:t xml:space="preserve"> CAYCEDO GUTIÉRREZ</w:t>
      </w:r>
      <w:r w:rsidRPr="00AA1B50">
        <w:rPr>
          <w:rFonts w:ascii="Arial" w:hAnsi="Arial" w:cs="Arial"/>
        </w:rPr>
        <w:t xml:space="preserve"> como apoderada de la demandada.</w:t>
      </w:r>
    </w:p>
    <w:p w:rsidR="008252F6" w:rsidRPr="00AA1B50" w:rsidRDefault="008252F6" w:rsidP="008252F6">
      <w:pPr>
        <w:pStyle w:val="Textoindependiente"/>
        <w:spacing w:after="0"/>
        <w:jc w:val="both"/>
        <w:rPr>
          <w:rFonts w:ascii="Arial" w:hAnsi="Arial" w:cs="Arial"/>
        </w:rPr>
      </w:pPr>
      <w:r w:rsidRPr="00AA1B50">
        <w:rPr>
          <w:rFonts w:ascii="Arial" w:hAnsi="Arial" w:cs="Arial"/>
        </w:rPr>
        <w:tab/>
      </w:r>
    </w:p>
    <w:p w:rsidR="008252F6" w:rsidRPr="00AA1B50" w:rsidRDefault="008252F6" w:rsidP="008252F6">
      <w:pPr>
        <w:pStyle w:val="Textoindependiente"/>
        <w:spacing w:after="0"/>
        <w:jc w:val="both"/>
        <w:rPr>
          <w:rFonts w:ascii="Arial" w:hAnsi="Arial" w:cs="Arial"/>
          <w:lang w:val="es-CO"/>
        </w:rPr>
      </w:pPr>
      <w:r w:rsidRPr="00AA1B50">
        <w:rPr>
          <w:rFonts w:ascii="Arial" w:hAnsi="Arial" w:cs="Arial"/>
          <w:lang w:val="es-CO"/>
        </w:rPr>
        <w:t>Cópiese, notifíquese, devuélvase el expediente al Tribunal de origen. Cúmplase.</w:t>
      </w:r>
    </w:p>
    <w:p w:rsidR="008252F6" w:rsidRPr="00AA1B50" w:rsidRDefault="008252F6" w:rsidP="008252F6">
      <w:pPr>
        <w:rPr>
          <w:rFonts w:ascii="Arial" w:hAnsi="Arial" w:cs="Arial"/>
          <w:sz w:val="24"/>
          <w:szCs w:val="24"/>
        </w:rPr>
      </w:pPr>
    </w:p>
    <w:p w:rsidR="008252F6" w:rsidRPr="00AA1B50" w:rsidRDefault="008252F6" w:rsidP="008252F6">
      <w:pPr>
        <w:rPr>
          <w:rFonts w:ascii="Arial" w:hAnsi="Arial" w:cs="Arial"/>
          <w:sz w:val="24"/>
          <w:szCs w:val="24"/>
        </w:rPr>
      </w:pPr>
      <w:r w:rsidRPr="00AA1B50">
        <w:rPr>
          <w:rFonts w:ascii="Arial" w:hAnsi="Arial" w:cs="Arial"/>
          <w:sz w:val="24"/>
          <w:szCs w:val="24"/>
        </w:rPr>
        <w:t>La anterior providencia se estudió y aprobó en  sesión de la fecha.</w:t>
      </w:r>
    </w:p>
    <w:p w:rsidR="008252F6" w:rsidRPr="00AA1B50" w:rsidRDefault="008252F6" w:rsidP="008252F6">
      <w:pPr>
        <w:suppressAutoHyphens/>
        <w:jc w:val="both"/>
        <w:rPr>
          <w:rFonts w:ascii="Arial" w:hAnsi="Arial" w:cs="Arial"/>
          <w:sz w:val="24"/>
          <w:szCs w:val="24"/>
        </w:rPr>
      </w:pPr>
    </w:p>
    <w:p w:rsidR="008252F6" w:rsidRPr="00AA1B50" w:rsidRDefault="008252F6" w:rsidP="008252F6">
      <w:pPr>
        <w:tabs>
          <w:tab w:val="left" w:pos="1701"/>
          <w:tab w:val="left" w:pos="2552"/>
          <w:tab w:val="left" w:pos="3119"/>
          <w:tab w:val="left" w:pos="3686"/>
          <w:tab w:val="left" w:pos="3969"/>
        </w:tabs>
        <w:jc w:val="both"/>
        <w:rPr>
          <w:rFonts w:ascii="Arial" w:hAnsi="Arial" w:cs="Arial"/>
          <w:b/>
          <w:bCs/>
          <w:sz w:val="24"/>
          <w:szCs w:val="24"/>
        </w:rPr>
      </w:pPr>
    </w:p>
    <w:p w:rsidR="008252F6" w:rsidRPr="00AA1B50" w:rsidRDefault="008252F6" w:rsidP="008252F6">
      <w:pPr>
        <w:tabs>
          <w:tab w:val="left" w:pos="1701"/>
          <w:tab w:val="left" w:pos="2552"/>
          <w:tab w:val="left" w:pos="3119"/>
          <w:tab w:val="left" w:pos="3686"/>
          <w:tab w:val="left" w:pos="3969"/>
        </w:tabs>
        <w:jc w:val="both"/>
        <w:rPr>
          <w:rFonts w:ascii="Arial" w:hAnsi="Arial" w:cs="Arial"/>
          <w:b/>
          <w:bCs/>
          <w:sz w:val="24"/>
          <w:szCs w:val="24"/>
        </w:rPr>
      </w:pPr>
    </w:p>
    <w:p w:rsidR="008252F6" w:rsidRPr="00AA1B50" w:rsidRDefault="008252F6" w:rsidP="008252F6">
      <w:pPr>
        <w:tabs>
          <w:tab w:val="left" w:pos="1701"/>
          <w:tab w:val="left" w:pos="2552"/>
          <w:tab w:val="left" w:pos="3119"/>
          <w:tab w:val="left" w:pos="3686"/>
          <w:tab w:val="left" w:pos="3969"/>
        </w:tabs>
        <w:jc w:val="both"/>
        <w:rPr>
          <w:rFonts w:ascii="Arial" w:hAnsi="Arial" w:cs="Arial"/>
          <w:b/>
          <w:bCs/>
          <w:sz w:val="24"/>
          <w:szCs w:val="24"/>
        </w:rPr>
      </w:pPr>
    </w:p>
    <w:p w:rsidR="008252F6" w:rsidRPr="00AA1B50" w:rsidRDefault="008252F6" w:rsidP="008252F6">
      <w:pPr>
        <w:jc w:val="center"/>
        <w:rPr>
          <w:rFonts w:ascii="Arial" w:hAnsi="Arial" w:cs="Arial"/>
          <w:b/>
          <w:bCs/>
          <w:sz w:val="24"/>
          <w:szCs w:val="24"/>
        </w:rPr>
      </w:pPr>
      <w:r w:rsidRPr="00AA1B50">
        <w:rPr>
          <w:rFonts w:ascii="Arial" w:hAnsi="Arial" w:cs="Arial"/>
          <w:b/>
          <w:bCs/>
          <w:sz w:val="24"/>
          <w:szCs w:val="24"/>
        </w:rPr>
        <w:t>MARTHA TERESA BRICEÑO DE VALENCIA</w:t>
      </w:r>
    </w:p>
    <w:p w:rsidR="008252F6" w:rsidRPr="00AA1B50" w:rsidRDefault="008252F6" w:rsidP="008252F6">
      <w:pPr>
        <w:jc w:val="center"/>
        <w:rPr>
          <w:rFonts w:ascii="Arial" w:hAnsi="Arial" w:cs="Arial"/>
          <w:b/>
          <w:bCs/>
          <w:sz w:val="24"/>
          <w:szCs w:val="24"/>
        </w:rPr>
      </w:pPr>
      <w:r w:rsidRPr="00AA1B50">
        <w:rPr>
          <w:rFonts w:ascii="Arial" w:hAnsi="Arial" w:cs="Arial"/>
          <w:b/>
          <w:bCs/>
          <w:sz w:val="24"/>
          <w:szCs w:val="24"/>
        </w:rPr>
        <w:t xml:space="preserve">Presidenta de </w:t>
      </w:r>
      <w:smartTag w:uri="urn:schemas-microsoft-com:office:smarttags" w:element="PersonName">
        <w:smartTagPr>
          <w:attr w:name="ProductID" w:val="la Secci￳n"/>
        </w:smartTagPr>
        <w:r w:rsidRPr="00AA1B50">
          <w:rPr>
            <w:rFonts w:ascii="Arial" w:hAnsi="Arial" w:cs="Arial"/>
            <w:b/>
            <w:bCs/>
            <w:sz w:val="24"/>
            <w:szCs w:val="24"/>
          </w:rPr>
          <w:t>la Sección</w:t>
        </w:r>
      </w:smartTag>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r w:rsidRPr="00AA1B50">
        <w:rPr>
          <w:rFonts w:ascii="Arial" w:hAnsi="Arial" w:cs="Arial"/>
          <w:b/>
          <w:bCs/>
          <w:sz w:val="24"/>
          <w:szCs w:val="24"/>
        </w:rPr>
        <w:t>HUGO FERNANDO BASTIDAS BÁRCENAS</w:t>
      </w: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p>
    <w:p w:rsidR="008252F6" w:rsidRPr="00AA1B50" w:rsidRDefault="008252F6" w:rsidP="008252F6">
      <w:pPr>
        <w:jc w:val="center"/>
        <w:rPr>
          <w:rFonts w:ascii="Arial" w:hAnsi="Arial" w:cs="Arial"/>
          <w:b/>
          <w:bCs/>
          <w:sz w:val="24"/>
          <w:szCs w:val="24"/>
        </w:rPr>
      </w:pPr>
      <w:r w:rsidRPr="00AA1B50">
        <w:rPr>
          <w:rFonts w:ascii="Arial" w:hAnsi="Arial" w:cs="Arial"/>
          <w:b/>
          <w:bCs/>
          <w:sz w:val="24"/>
          <w:szCs w:val="24"/>
        </w:rPr>
        <w:t>WILLIAM GIRALDO GIRALDO</w:t>
      </w:r>
    </w:p>
    <w:p w:rsidR="008252F6" w:rsidRPr="00AA1B50" w:rsidRDefault="008252F6" w:rsidP="008252F6">
      <w:pPr>
        <w:jc w:val="center"/>
        <w:rPr>
          <w:rFonts w:ascii="Arial" w:hAnsi="Arial" w:cs="Arial"/>
          <w:b/>
          <w:bCs/>
          <w:sz w:val="24"/>
          <w:szCs w:val="24"/>
        </w:rPr>
      </w:pPr>
    </w:p>
    <w:p w:rsidR="008252F6" w:rsidRPr="00711290" w:rsidRDefault="008252F6" w:rsidP="008252F6">
      <w:pPr>
        <w:jc w:val="center"/>
        <w:rPr>
          <w:b/>
          <w:i/>
        </w:rPr>
      </w:pPr>
      <w:r w:rsidRPr="00AA1B50">
        <w:rPr>
          <w:b/>
          <w:i/>
        </w:rPr>
        <w:t>Este documento fue creado a partir del original obtenido en el Consejo de Estado.</w:t>
      </w:r>
      <w:r w:rsidRPr="00711290">
        <w:rPr>
          <w:b/>
          <w:i/>
        </w:rPr>
        <w:t xml:space="preserve"> </w:t>
      </w:r>
    </w:p>
    <w:p w:rsidR="008252F6" w:rsidRPr="009657D1" w:rsidRDefault="008252F6" w:rsidP="008252F6">
      <w:pPr>
        <w:jc w:val="center"/>
        <w:rPr>
          <w:rFonts w:ascii="Arial" w:hAnsi="Arial" w:cs="Arial"/>
          <w:b/>
          <w:bCs/>
          <w:sz w:val="24"/>
          <w:szCs w:val="24"/>
        </w:rPr>
      </w:pPr>
    </w:p>
    <w:p w:rsidR="00DB66D1" w:rsidRDefault="00DB66D1" w:rsidP="008252F6"/>
    <w:sectPr w:rsidR="00DB66D1" w:rsidSect="00DB66D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3B2" w:rsidRDefault="002973B2" w:rsidP="008252F6">
      <w:r>
        <w:separator/>
      </w:r>
    </w:p>
  </w:endnote>
  <w:endnote w:type="continuationSeparator" w:id="0">
    <w:p w:rsidR="002973B2" w:rsidRDefault="002973B2" w:rsidP="008252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3B2" w:rsidRDefault="002973B2" w:rsidP="008252F6">
      <w:r>
        <w:separator/>
      </w:r>
    </w:p>
  </w:footnote>
  <w:footnote w:type="continuationSeparator" w:id="0">
    <w:p w:rsidR="002973B2" w:rsidRDefault="002973B2" w:rsidP="008252F6">
      <w:r>
        <w:continuationSeparator/>
      </w:r>
    </w:p>
  </w:footnote>
  <w:footnote w:id="1">
    <w:p w:rsidR="008252F6" w:rsidRPr="003D5FEE" w:rsidRDefault="008252F6" w:rsidP="008252F6">
      <w:pPr>
        <w:pStyle w:val="Textonotapie"/>
        <w:rPr>
          <w:lang w:val="es-MX"/>
        </w:rPr>
      </w:pPr>
      <w:r>
        <w:rPr>
          <w:rStyle w:val="Refdenotaalpie"/>
        </w:rPr>
        <w:footnoteRef/>
      </w:r>
      <w:r>
        <w:t xml:space="preserve"> </w:t>
      </w:r>
      <w:r>
        <w:rPr>
          <w:lang w:val="es-MX"/>
        </w:rPr>
        <w:t>El artículo 98 del Código de Comercio establece: “Por el contrato de sociedad dos o más personas se obligan a hacer un aporte en dinero, en trabajo o en otros bines apreciables en dinero, con el fin de repartirse entre sí las utilidades obtenidas en la empresa o actividad social”.</w:t>
      </w:r>
    </w:p>
  </w:footnote>
  <w:footnote w:id="2">
    <w:p w:rsidR="008252F6" w:rsidRPr="006B1DFF" w:rsidRDefault="008252F6" w:rsidP="008252F6">
      <w:pPr>
        <w:pStyle w:val="Textonotapie"/>
        <w:rPr>
          <w:lang w:val="es-MX"/>
        </w:rPr>
      </w:pPr>
      <w:r>
        <w:rPr>
          <w:rStyle w:val="Refdenotaalpie"/>
        </w:rPr>
        <w:footnoteRef/>
      </w:r>
      <w:r>
        <w:t xml:space="preserve"> </w:t>
      </w:r>
      <w:r>
        <w:rPr>
          <w:lang w:val="es-MX"/>
        </w:rPr>
        <w:t xml:space="preserve">El artículo 6° de </w:t>
      </w:r>
      <w:smartTag w:uri="urn:schemas-microsoft-com:office:smarttags" w:element="PersonName">
        <w:smartTagPr>
          <w:attr w:name="ProductID" w:val="la Ley"/>
        </w:smartTagPr>
        <w:r>
          <w:rPr>
            <w:lang w:val="es-MX"/>
          </w:rPr>
          <w:t>la Ley</w:t>
        </w:r>
      </w:smartTag>
      <w:r>
        <w:rPr>
          <w:lang w:val="es-MX"/>
        </w:rPr>
        <w:t xml:space="preserve"> 43 de 1990 define los principios de contabilidad generalmente aceptados como “el conjunto de conceptos básicos y de reglas que deben ser observados al registrar e informar contablemente, sobre los asuntos y actividades de personas naturales o jurídicas”.</w:t>
      </w:r>
    </w:p>
  </w:footnote>
  <w:footnote w:id="3">
    <w:p w:rsidR="008252F6" w:rsidRPr="001810D4" w:rsidRDefault="008252F6" w:rsidP="008252F6">
      <w:pPr>
        <w:pStyle w:val="Textonotapie"/>
        <w:jc w:val="both"/>
        <w:rPr>
          <w:lang w:val="es-MX"/>
        </w:rPr>
      </w:pPr>
      <w:r>
        <w:rPr>
          <w:rStyle w:val="Refdenotaalpie"/>
        </w:rPr>
        <w:footnoteRef/>
      </w:r>
      <w:r>
        <w:t xml:space="preserve"> </w:t>
      </w:r>
      <w:smartTag w:uri="urn:schemas-microsoft-com:office:smarttags" w:element="PersonName">
        <w:smartTagPr>
          <w:attr w:name="ProductID" w:val="La Corte Constitucional"/>
        </w:smartTagPr>
        <w:r>
          <w:rPr>
            <w:lang w:val="es-MX"/>
          </w:rPr>
          <w:t>La Corte Constitucional</w:t>
        </w:r>
      </w:smartTag>
      <w:r>
        <w:rPr>
          <w:lang w:val="es-MX"/>
        </w:rPr>
        <w:t xml:space="preserve"> mediante sentencia C-290 de 1997 declaró inexequible casi todo el texto normativo del numeral 1 del artículo 44 de </w:t>
      </w:r>
      <w:smartTag w:uri="urn:schemas-microsoft-com:office:smarttags" w:element="PersonName">
        <w:smartTagPr>
          <w:attr w:name="ProductID" w:val="la Ley"/>
        </w:smartTagPr>
        <w:r>
          <w:rPr>
            <w:lang w:val="es-MX"/>
          </w:rPr>
          <w:t>la Ley</w:t>
        </w:r>
      </w:smartTag>
      <w:r>
        <w:rPr>
          <w:lang w:val="es-MX"/>
        </w:rPr>
        <w:t xml:space="preserve"> 222 de 1995 que facultaba al Gobierno Nacional para expedir entre otros los Principios de Contabilidad Generalmente Aceptados. Sobre el particular dijo: </w:t>
      </w:r>
      <w:r w:rsidRPr="001810D4">
        <w:t>Lo dicho explica también la inexequibilidad de la anotada parte del numeral 1o. que dice que “</w:t>
      </w:r>
      <w:r w:rsidRPr="001810D4">
        <w:rPr>
          <w:i/>
          <w:iCs/>
        </w:rPr>
        <w:t>tales principios comprenderán, entre otros temas, el marco conceptual de la contabilidad, así como disposiciones sobre reconocimiento, estados financieros, libros, comprobantes y soportes</w:t>
      </w:r>
      <w:r w:rsidRPr="001810D4">
        <w:t xml:space="preserve">”, pues es claro que estos aspectos, considerados como principios de contabilidad, al ser extraños a la potestad reglamentaria, no pueden ser sino de naturaleza legal. En este campo, la violación de </w:t>
      </w:r>
      <w:smartTag w:uri="urn:schemas-microsoft-com:office:smarttags" w:element="PersonName">
        <w:smartTagPr>
          <w:attr w:name="ProductID" w:val="la Constituci￳n"/>
        </w:smartTagPr>
        <w:r w:rsidRPr="001810D4">
          <w:t>la Constitución</w:t>
        </w:r>
      </w:smartTag>
      <w:r w:rsidRPr="001810D4">
        <w:t xml:space="preserve"> obedece a la violación de la cláusula general de competencia del Congreso en la elaboración de las leyes, es decir, la contenida en el artículo 150 de</w:t>
      </w:r>
      <w:r>
        <w:t xml:space="preserve"> </w:t>
      </w:r>
      <w:smartTag w:uri="urn:schemas-microsoft-com:office:smarttags" w:element="PersonName">
        <w:smartTagPr>
          <w:attr w:name="ProductID" w:val="la Carta."/>
        </w:smartTagPr>
        <w:r>
          <w:t>la Carta.</w:t>
        </w:r>
      </w:smartTag>
    </w:p>
  </w:footnote>
  <w:footnote w:id="4">
    <w:p w:rsidR="008252F6" w:rsidRPr="009223FE" w:rsidRDefault="008252F6" w:rsidP="008252F6">
      <w:pPr>
        <w:pStyle w:val="Textonotapie"/>
        <w:rPr>
          <w:lang w:val="es-MX"/>
        </w:rPr>
      </w:pPr>
      <w:r>
        <w:rPr>
          <w:rStyle w:val="Refdenotaalpie"/>
        </w:rPr>
        <w:footnoteRef/>
      </w:r>
      <w:r>
        <w:t xml:space="preserve"> </w:t>
      </w:r>
      <w:r>
        <w:rPr>
          <w:lang w:val="es-MX"/>
        </w:rPr>
        <w:t xml:space="preserve">Sentencia del 24 de octubre de 1997 Sección Cuarta Expediente </w:t>
      </w:r>
      <w:smartTag w:uri="urn:schemas-microsoft-com:office:smarttags" w:element="metricconverter">
        <w:smartTagPr>
          <w:attr w:name="ProductID" w:val="8073 M"/>
        </w:smartTagPr>
        <w:r>
          <w:rPr>
            <w:lang w:val="es-MX"/>
          </w:rPr>
          <w:t>8073 M</w:t>
        </w:r>
      </w:smartTag>
      <w:r>
        <w:rPr>
          <w:lang w:val="es-MX"/>
        </w:rPr>
        <w:t>.P .Delio Gómez Leyva</w:t>
      </w:r>
    </w:p>
  </w:footnote>
  <w:footnote w:id="5">
    <w:p w:rsidR="008252F6" w:rsidRPr="005C0F8E" w:rsidRDefault="008252F6" w:rsidP="008252F6">
      <w:pPr>
        <w:pStyle w:val="Textonotapie"/>
        <w:rPr>
          <w:lang w:val="es-MX"/>
        </w:rPr>
      </w:pPr>
      <w:r>
        <w:rPr>
          <w:rStyle w:val="Refdenotaalpie"/>
        </w:rPr>
        <w:footnoteRef/>
      </w:r>
      <w:r>
        <w:t xml:space="preserve"> </w:t>
      </w:r>
      <w:r>
        <w:rPr>
          <w:lang w:val="es-MX"/>
        </w:rPr>
        <w:t>Según el artículo 4° del Decreto 2649 de 1993, las cualidades de la información contable son la comprensibilidad, la utilidad y la comparabilidad</w:t>
      </w:r>
    </w:p>
  </w:footnote>
  <w:footnote w:id="6">
    <w:p w:rsidR="008252F6" w:rsidRPr="007A59D6" w:rsidRDefault="008252F6" w:rsidP="008252F6">
      <w:pPr>
        <w:pStyle w:val="Textonotapie"/>
        <w:rPr>
          <w:rFonts w:ascii="Arial" w:hAnsi="Arial" w:cs="Arial"/>
          <w:lang w:val="es-MX"/>
        </w:rPr>
      </w:pPr>
      <w:r>
        <w:rPr>
          <w:rStyle w:val="Refdenotaalpie"/>
        </w:rPr>
        <w:footnoteRef/>
      </w:r>
      <w:r>
        <w:t xml:space="preserve"> </w:t>
      </w:r>
      <w:r w:rsidRPr="007A59D6">
        <w:rPr>
          <w:rFonts w:ascii="Arial" w:hAnsi="Arial" w:cs="Arial"/>
          <w:lang w:val="es-MX"/>
        </w:rPr>
        <w:t xml:space="preserve">Sentencias del 12 de abril de 2002 expediente </w:t>
      </w:r>
      <w:smartTag w:uri="urn:schemas-microsoft-com:office:smarttags" w:element="metricconverter">
        <w:smartTagPr>
          <w:attr w:name="ProductID" w:val="12175 M"/>
        </w:smartTagPr>
        <w:r w:rsidRPr="007A59D6">
          <w:rPr>
            <w:rFonts w:ascii="Arial" w:hAnsi="Arial" w:cs="Arial"/>
            <w:lang w:val="es-MX"/>
          </w:rPr>
          <w:t>12175 M</w:t>
        </w:r>
      </w:smartTag>
      <w:r w:rsidRPr="007A59D6">
        <w:rPr>
          <w:rFonts w:ascii="Arial" w:hAnsi="Arial" w:cs="Arial"/>
          <w:lang w:val="es-MX"/>
        </w:rPr>
        <w:t xml:space="preserve">.P. Germán Ayala Mantilla y del 4 de septiembre de 2008 expediente </w:t>
      </w:r>
      <w:smartTag w:uri="urn:schemas-microsoft-com:office:smarttags" w:element="metricconverter">
        <w:smartTagPr>
          <w:attr w:name="ProductID" w:val="16215 M"/>
        </w:smartTagPr>
        <w:r w:rsidRPr="007A59D6">
          <w:rPr>
            <w:rFonts w:ascii="Arial" w:hAnsi="Arial" w:cs="Arial"/>
            <w:lang w:val="es-MX"/>
          </w:rPr>
          <w:t>16215 M</w:t>
        </w:r>
      </w:smartTag>
      <w:r w:rsidRPr="007A59D6">
        <w:rPr>
          <w:rFonts w:ascii="Arial" w:hAnsi="Arial" w:cs="Arial"/>
          <w:lang w:val="es-MX"/>
        </w:rPr>
        <w:t xml:space="preserve">.P. María Inés Ortiz Barbosa. </w:t>
      </w:r>
    </w:p>
  </w:footnote>
  <w:footnote w:id="7">
    <w:p w:rsidR="008252F6" w:rsidRPr="001F4EDA" w:rsidRDefault="008252F6" w:rsidP="008252F6">
      <w:pPr>
        <w:pStyle w:val="Textonotapie"/>
        <w:jc w:val="both"/>
        <w:rPr>
          <w:lang w:val="es-ES"/>
        </w:rPr>
      </w:pPr>
      <w:r>
        <w:rPr>
          <w:rStyle w:val="Refdenotaalpie"/>
        </w:rPr>
        <w:footnoteRef/>
      </w:r>
      <w:r>
        <w:t xml:space="preserve"> La diferencia en cambio representa el ajuste que se hace al terminar un período contable a los </w:t>
      </w:r>
      <w:r w:rsidRPr="001F4EDA">
        <w:rPr>
          <w:lang w:val="es-ES"/>
        </w:rPr>
        <w:t xml:space="preserve">valores de los activos o pasivos en moneda extranjera, </w:t>
      </w:r>
      <w:r>
        <w:rPr>
          <w:lang w:val="es-ES"/>
        </w:rPr>
        <w:t xml:space="preserve">para expresarlos en la moneda funcional (pesos), </w:t>
      </w:r>
      <w:r w:rsidRPr="001F4EDA">
        <w:rPr>
          <w:lang w:val="es-ES"/>
        </w:rPr>
        <w:t xml:space="preserve">por lo que </w:t>
      </w:r>
      <w:r>
        <w:rPr>
          <w:lang w:val="es-ES"/>
        </w:rPr>
        <w:t xml:space="preserve">surge </w:t>
      </w:r>
      <w:r w:rsidRPr="001F4EDA">
        <w:rPr>
          <w:lang w:val="es-ES"/>
        </w:rPr>
        <w:t xml:space="preserve"> una diferencia entre el valor en libros y el valor resultante al hacer la respectiva conversión.</w:t>
      </w:r>
    </w:p>
    <w:p w:rsidR="008252F6" w:rsidRPr="001F4EDA" w:rsidRDefault="008252F6" w:rsidP="008252F6">
      <w:pPr>
        <w:pStyle w:val="Textonotapie"/>
        <w:rPr>
          <w:lang w:val="es-MX"/>
        </w:rPr>
      </w:pPr>
    </w:p>
  </w:footnote>
  <w:footnote w:id="8">
    <w:p w:rsidR="008252F6" w:rsidRPr="00FB377A" w:rsidRDefault="008252F6" w:rsidP="008252F6">
      <w:pPr>
        <w:widowControl w:val="0"/>
        <w:tabs>
          <w:tab w:val="left" w:pos="204"/>
        </w:tabs>
        <w:ind w:firstLine="204"/>
        <w:jc w:val="both"/>
        <w:rPr>
          <w:rFonts w:ascii="Arial" w:hAnsi="Arial" w:cs="Arial"/>
        </w:rPr>
      </w:pPr>
      <w:r>
        <w:rPr>
          <w:rStyle w:val="Refdenotaalpie"/>
        </w:rPr>
        <w:footnoteRef/>
      </w:r>
      <w:r>
        <w:t xml:space="preserve"> </w:t>
      </w:r>
      <w:r w:rsidRPr="00FB377A">
        <w:rPr>
          <w:rFonts w:ascii="Arial" w:hAnsi="Arial" w:cs="Arial"/>
        </w:rPr>
        <w:t xml:space="preserve">A nivel de norma específica para el sector financiero, el Plan Unico de Cuentas P.U.C. para tal sector, adoptado originalmente mediante </w:t>
      </w:r>
      <w:smartTag w:uri="urn:schemas-microsoft-com:office:smarttags" w:element="PersonName">
        <w:smartTagPr>
          <w:attr w:name="ProductID" w:val="la Resoluci￳n"/>
        </w:smartTagPr>
        <w:r w:rsidRPr="00FB377A">
          <w:rPr>
            <w:rFonts w:ascii="Arial" w:hAnsi="Arial" w:cs="Arial"/>
          </w:rPr>
          <w:t>la Resolución</w:t>
        </w:r>
      </w:smartTag>
      <w:r w:rsidRPr="00FB377A">
        <w:rPr>
          <w:rFonts w:ascii="Arial" w:hAnsi="Arial" w:cs="Arial"/>
        </w:rPr>
        <w:t xml:space="preserve"> 3600 de 1988 (octubre 14) expedida en uso de las facultades otorgadas al Superintendente Bancario por el artículo 47 de </w:t>
      </w:r>
      <w:smartTag w:uri="urn:schemas-microsoft-com:office:smarttags" w:element="PersonName">
        <w:smartTagPr>
          <w:attr w:name="ProductID" w:val="la Ley"/>
        </w:smartTagPr>
        <w:r w:rsidRPr="00FB377A">
          <w:rPr>
            <w:rFonts w:ascii="Arial" w:hAnsi="Arial" w:cs="Arial"/>
          </w:rPr>
          <w:t>la Ley</w:t>
        </w:r>
      </w:smartTag>
      <w:r w:rsidRPr="00FB377A">
        <w:rPr>
          <w:rFonts w:ascii="Arial" w:hAnsi="Arial" w:cs="Arial"/>
        </w:rPr>
        <w:t xml:space="preserve"> 45 de 1.923 y los literales g) y h)</w:t>
      </w:r>
      <w:r w:rsidRPr="00FB377A">
        <w:rPr>
          <w:rFonts w:ascii="Arial" w:hAnsi="Arial" w:cs="Arial"/>
          <w:b/>
          <w:bCs/>
          <w:i/>
          <w:iCs/>
        </w:rPr>
        <w:t xml:space="preserve"> </w:t>
      </w:r>
      <w:r w:rsidRPr="00FB377A">
        <w:rPr>
          <w:rFonts w:ascii="Arial" w:hAnsi="Arial" w:cs="Arial"/>
        </w:rPr>
        <w:t>del artículo 3 del Decreto 1939 de 1.986, contempla dentro del Grupo de Otros Activos (19) la cuenta 1920</w:t>
      </w:r>
      <w:r w:rsidRPr="00FB377A">
        <w:rPr>
          <w:rFonts w:ascii="Arial" w:hAnsi="Arial" w:cs="Arial"/>
          <w:color w:val="FF0000"/>
        </w:rPr>
        <w:t xml:space="preserve"> </w:t>
      </w:r>
      <w:r w:rsidRPr="00FB377A">
        <w:rPr>
          <w:rFonts w:ascii="Arial" w:hAnsi="Arial" w:cs="Arial"/>
        </w:rPr>
        <w:t>(Cargos Diferidos) la descripción dispone lo siguiente:</w:t>
      </w:r>
    </w:p>
    <w:p w:rsidR="008252F6" w:rsidRPr="00FB377A" w:rsidRDefault="008252F6" w:rsidP="008252F6">
      <w:pPr>
        <w:rPr>
          <w:b/>
        </w:rPr>
      </w:pPr>
    </w:p>
    <w:p w:rsidR="008252F6" w:rsidRPr="00FB377A" w:rsidRDefault="008252F6" w:rsidP="008252F6">
      <w:pPr>
        <w:rPr>
          <w:b/>
        </w:rPr>
      </w:pPr>
      <w:r>
        <w:rPr>
          <w:b/>
        </w:rPr>
        <w:t xml:space="preserve">          DESCRIPCIÓ</w:t>
      </w:r>
      <w:r w:rsidRPr="00FB377A">
        <w:rPr>
          <w:b/>
        </w:rPr>
        <w:t>N.</w:t>
      </w:r>
    </w:p>
    <w:p w:rsidR="008252F6" w:rsidRPr="00FB377A" w:rsidRDefault="008252F6" w:rsidP="008252F6">
      <w:pPr>
        <w:rPr>
          <w:b/>
        </w:rPr>
      </w:pPr>
    </w:p>
    <w:p w:rsidR="008252F6" w:rsidRPr="00FB377A" w:rsidRDefault="008252F6" w:rsidP="008252F6">
      <w:pPr>
        <w:ind w:left="540" w:right="740"/>
        <w:jc w:val="both"/>
        <w:rPr>
          <w:rFonts w:ascii="Arial" w:hAnsi="Arial" w:cs="Arial"/>
          <w:i/>
        </w:rPr>
      </w:pPr>
      <w:r w:rsidRPr="00FB377A">
        <w:rPr>
          <w:rFonts w:ascii="Arial" w:hAnsi="Arial" w:cs="Arial"/>
          <w:i/>
        </w:rPr>
        <w:t>Se entiende por cargos diferidos aquellos bienes y servicios recibidos de los cuales se espera obtener beneficios económicos futuros.</w:t>
      </w:r>
    </w:p>
    <w:p w:rsidR="008252F6" w:rsidRPr="00FB377A" w:rsidRDefault="008252F6" w:rsidP="008252F6">
      <w:pPr>
        <w:ind w:left="540" w:right="740"/>
        <w:jc w:val="both"/>
        <w:rPr>
          <w:rFonts w:ascii="Arial" w:hAnsi="Arial" w:cs="Arial"/>
          <w:i/>
        </w:rPr>
      </w:pPr>
    </w:p>
    <w:p w:rsidR="008252F6" w:rsidRPr="00FB377A" w:rsidRDefault="008252F6" w:rsidP="008252F6">
      <w:pPr>
        <w:ind w:left="540" w:right="740"/>
        <w:jc w:val="both"/>
        <w:rPr>
          <w:rFonts w:ascii="Arial" w:hAnsi="Arial" w:cs="Arial"/>
          <w:i/>
        </w:rPr>
      </w:pPr>
      <w:smartTag w:uri="urn:schemas-microsoft-com:office:smarttags" w:element="PersonName">
        <w:smartTagPr>
          <w:attr w:name="ProductID" w:val="La cuenta Cargos Diferidos"/>
        </w:smartTagPr>
        <w:r w:rsidRPr="00FB377A">
          <w:rPr>
            <w:rFonts w:ascii="Arial" w:hAnsi="Arial" w:cs="Arial"/>
            <w:i/>
          </w:rPr>
          <w:t>La cuenta Cargos Diferidos</w:t>
        </w:r>
      </w:smartTag>
      <w:r w:rsidRPr="00FB377A">
        <w:rPr>
          <w:rFonts w:ascii="Arial" w:hAnsi="Arial" w:cs="Arial"/>
          <w:i/>
        </w:rPr>
        <w:t xml:space="preserve">, registra:  </w:t>
      </w:r>
    </w:p>
    <w:p w:rsidR="008252F6" w:rsidRPr="00FB377A" w:rsidRDefault="008252F6" w:rsidP="008252F6">
      <w:pPr>
        <w:ind w:left="540" w:right="740"/>
        <w:jc w:val="both"/>
        <w:rPr>
          <w:rFonts w:ascii="Arial" w:hAnsi="Arial" w:cs="Arial"/>
          <w:i/>
        </w:rPr>
      </w:pPr>
    </w:p>
    <w:p w:rsidR="008252F6" w:rsidRPr="00FB377A" w:rsidRDefault="008252F6" w:rsidP="008252F6">
      <w:pPr>
        <w:ind w:left="540" w:right="740"/>
        <w:jc w:val="both"/>
        <w:rPr>
          <w:rFonts w:ascii="Arial" w:hAnsi="Arial" w:cs="Arial"/>
          <w:b/>
          <w:i/>
        </w:rPr>
      </w:pPr>
      <w:r w:rsidRPr="00FB377A">
        <w:rPr>
          <w:rFonts w:ascii="Arial" w:hAnsi="Arial" w:cs="Arial"/>
          <w:i/>
        </w:rPr>
        <w:t xml:space="preserve">- </w:t>
      </w:r>
      <w:r w:rsidRPr="00FB377A">
        <w:rPr>
          <w:rFonts w:ascii="Arial" w:hAnsi="Arial" w:cs="Arial"/>
          <w:b/>
          <w:i/>
        </w:rPr>
        <w:t xml:space="preserve">Los costos y gastos en que incurre </w:t>
      </w:r>
      <w:smartTag w:uri="urn:schemas-microsoft-com:office:smarttags" w:element="PersonName">
        <w:smartTagPr>
          <w:attr w:name="ProductID" w:val="la Entidad"/>
        </w:smartTagPr>
        <w:r w:rsidRPr="00FB377A">
          <w:rPr>
            <w:rFonts w:ascii="Arial" w:hAnsi="Arial" w:cs="Arial"/>
            <w:b/>
            <w:i/>
          </w:rPr>
          <w:t>la Entidad</w:t>
        </w:r>
      </w:smartTag>
      <w:r w:rsidRPr="00FB377A">
        <w:rPr>
          <w:rFonts w:ascii="Arial" w:hAnsi="Arial" w:cs="Arial"/>
          <w:b/>
          <w:i/>
        </w:rPr>
        <w:t xml:space="preserve"> en las etapas de organización, exploración, construcción, instalación, montaje y de puesta en marcha.</w:t>
      </w:r>
    </w:p>
    <w:p w:rsidR="008252F6" w:rsidRPr="00FB377A" w:rsidRDefault="008252F6" w:rsidP="008252F6">
      <w:pPr>
        <w:pStyle w:val="Textonotapie"/>
        <w:rPr>
          <w:lang w:val="es-MX"/>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6485"/>
    <w:multiLevelType w:val="hybridMultilevel"/>
    <w:tmpl w:val="7E8C5070"/>
    <w:lvl w:ilvl="0" w:tplc="5E3EC33C">
      <w:start w:val="3"/>
      <w:numFmt w:val="bullet"/>
      <w:lvlText w:val="-"/>
      <w:lvlJc w:val="left"/>
      <w:pPr>
        <w:tabs>
          <w:tab w:val="num" w:pos="930"/>
        </w:tabs>
        <w:ind w:left="930" w:hanging="57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C9F07B6"/>
    <w:multiLevelType w:val="hybridMultilevel"/>
    <w:tmpl w:val="53184FD2"/>
    <w:lvl w:ilvl="0" w:tplc="0C0A000F">
      <w:start w:val="1"/>
      <w:numFmt w:val="decimal"/>
      <w:lvlText w:val="%1."/>
      <w:lvlJc w:val="left"/>
      <w:pPr>
        <w:tabs>
          <w:tab w:val="num" w:pos="720"/>
        </w:tabs>
        <w:ind w:left="720" w:hanging="360"/>
      </w:pPr>
      <w:rPr>
        <w:rFonts w:hint="default"/>
      </w:rPr>
    </w:lvl>
    <w:lvl w:ilvl="1" w:tplc="7AAA37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52F6"/>
    <w:rsid w:val="000449AD"/>
    <w:rsid w:val="001712E2"/>
    <w:rsid w:val="002973B2"/>
    <w:rsid w:val="002C2F18"/>
    <w:rsid w:val="002F0B82"/>
    <w:rsid w:val="003F4B59"/>
    <w:rsid w:val="00477BD2"/>
    <w:rsid w:val="004A28F8"/>
    <w:rsid w:val="004B76EF"/>
    <w:rsid w:val="008247E3"/>
    <w:rsid w:val="008252F6"/>
    <w:rsid w:val="00942F90"/>
    <w:rsid w:val="009C679B"/>
    <w:rsid w:val="00A85531"/>
    <w:rsid w:val="00AA1B50"/>
    <w:rsid w:val="00AB081F"/>
    <w:rsid w:val="00AF22BA"/>
    <w:rsid w:val="00C64410"/>
    <w:rsid w:val="00D9377D"/>
    <w:rsid w:val="00DA78D3"/>
    <w:rsid w:val="00DB66D1"/>
    <w:rsid w:val="00DD5733"/>
    <w:rsid w:val="00DF4340"/>
    <w:rsid w:val="00F1128A"/>
    <w:rsid w:val="00F43295"/>
    <w:rsid w:val="00F574BA"/>
    <w:rsid w:val="00FF1E18"/>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F6"/>
    <w:pPr>
      <w:overflowPunct w:val="0"/>
      <w:autoSpaceDE w:val="0"/>
      <w:autoSpaceDN w:val="0"/>
      <w:adjustRightInd w:val="0"/>
      <w:textAlignment w:val="baseline"/>
    </w:pPr>
    <w:rPr>
      <w:rFonts w:ascii="Times New Roman" w:eastAsia="Times New Roman" w:hAnsi="Times New Roman"/>
      <w:lang w:val="es-ES_tradnl" w:eastAsia="es-ES"/>
    </w:rPr>
  </w:style>
  <w:style w:type="paragraph" w:styleId="Ttulo1">
    <w:name w:val="heading 1"/>
    <w:basedOn w:val="Normal"/>
    <w:next w:val="Normal"/>
    <w:link w:val="Ttulo1Car"/>
    <w:qFormat/>
    <w:rsid w:val="008252F6"/>
    <w:pPr>
      <w:keepNext/>
      <w:overflowPunct/>
      <w:autoSpaceDE/>
      <w:autoSpaceDN/>
      <w:adjustRightInd/>
      <w:spacing w:before="240" w:after="60"/>
      <w:textAlignment w:val="auto"/>
      <w:outlineLvl w:val="0"/>
    </w:pPr>
    <w:rPr>
      <w:rFonts w:ascii="Arial" w:hAnsi="Arial" w:cs="Arial"/>
      <w:b/>
      <w:bCs/>
      <w:kern w:val="32"/>
      <w:sz w:val="32"/>
      <w:szCs w:val="32"/>
      <w:lang w:val="es-CO"/>
    </w:rPr>
  </w:style>
  <w:style w:type="paragraph" w:styleId="Ttulo3">
    <w:name w:val="heading 3"/>
    <w:basedOn w:val="Normal"/>
    <w:next w:val="Normal"/>
    <w:link w:val="Ttulo3Car"/>
    <w:qFormat/>
    <w:rsid w:val="008252F6"/>
    <w:pPr>
      <w:keepNext/>
      <w:tabs>
        <w:tab w:val="left" w:pos="1701"/>
        <w:tab w:val="left" w:pos="2835"/>
        <w:tab w:val="left" w:pos="3969"/>
      </w:tabs>
      <w:spacing w:line="360" w:lineRule="auto"/>
      <w:jc w:val="center"/>
      <w:outlineLvl w:val="2"/>
    </w:pPr>
    <w:rPr>
      <w:rFonts w:ascii="Arial" w:hAnsi="Arial" w:cs="Arial"/>
      <w:sz w:val="24"/>
      <w:szCs w:val="24"/>
    </w:rPr>
  </w:style>
  <w:style w:type="paragraph" w:styleId="Ttulo4">
    <w:name w:val="heading 4"/>
    <w:basedOn w:val="Normal"/>
    <w:next w:val="Normal"/>
    <w:link w:val="Ttulo4Car"/>
    <w:qFormat/>
    <w:rsid w:val="008252F6"/>
    <w:pPr>
      <w:keepNext/>
      <w:tabs>
        <w:tab w:val="left" w:pos="1134"/>
        <w:tab w:val="left" w:pos="2552"/>
        <w:tab w:val="left" w:pos="2977"/>
        <w:tab w:val="left" w:pos="3402"/>
      </w:tabs>
      <w:spacing w:line="360" w:lineRule="auto"/>
      <w:jc w:val="both"/>
      <w:outlineLvl w:val="3"/>
    </w:pPr>
    <w:rPr>
      <w:rFonts w:ascii="Arial" w:hAnsi="Arial" w:cs="Arial"/>
      <w:b/>
      <w:bCs/>
      <w:color w:val="000000"/>
      <w:sz w:val="24"/>
      <w:szCs w:val="24"/>
      <w:lang w:val="en-US"/>
    </w:rPr>
  </w:style>
  <w:style w:type="paragraph" w:styleId="Ttulo5">
    <w:name w:val="heading 5"/>
    <w:basedOn w:val="Normal"/>
    <w:next w:val="Normal"/>
    <w:link w:val="Ttulo5Car"/>
    <w:uiPriority w:val="9"/>
    <w:semiHidden/>
    <w:unhideWhenUsed/>
    <w:qFormat/>
    <w:rsid w:val="008252F6"/>
    <w:pPr>
      <w:keepNext/>
      <w:keepLines/>
      <w:spacing w:before="200"/>
      <w:outlineLvl w:val="4"/>
    </w:pPr>
    <w:rPr>
      <w:rFonts w:ascii="Cambria" w:hAnsi="Cambri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52F6"/>
    <w:rPr>
      <w:rFonts w:ascii="Arial" w:eastAsia="Times New Roman" w:hAnsi="Arial" w:cs="Arial"/>
      <w:b/>
      <w:bCs/>
      <w:kern w:val="32"/>
      <w:sz w:val="32"/>
      <w:szCs w:val="32"/>
      <w:lang w:eastAsia="es-ES"/>
    </w:rPr>
  </w:style>
  <w:style w:type="character" w:customStyle="1" w:styleId="Ttulo3Car">
    <w:name w:val="Título 3 Car"/>
    <w:basedOn w:val="Fuentedeprrafopredeter"/>
    <w:link w:val="Ttulo3"/>
    <w:rsid w:val="008252F6"/>
    <w:rPr>
      <w:rFonts w:ascii="Arial" w:eastAsia="Times New Roman" w:hAnsi="Arial" w:cs="Arial"/>
      <w:sz w:val="24"/>
      <w:szCs w:val="24"/>
      <w:lang w:val="es-ES_tradnl" w:eastAsia="es-ES"/>
    </w:rPr>
  </w:style>
  <w:style w:type="character" w:customStyle="1" w:styleId="Ttulo4Car">
    <w:name w:val="Título 4 Car"/>
    <w:basedOn w:val="Fuentedeprrafopredeter"/>
    <w:link w:val="Ttulo4"/>
    <w:rsid w:val="008252F6"/>
    <w:rPr>
      <w:rFonts w:ascii="Arial" w:eastAsia="Times New Roman" w:hAnsi="Arial" w:cs="Arial"/>
      <w:b/>
      <w:bCs/>
      <w:color w:val="000000"/>
      <w:sz w:val="24"/>
      <w:szCs w:val="24"/>
      <w:lang w:val="en-US" w:eastAsia="es-ES"/>
    </w:rPr>
  </w:style>
  <w:style w:type="paragraph" w:styleId="Ttulo">
    <w:name w:val="Title"/>
    <w:basedOn w:val="Normal"/>
    <w:link w:val="TtuloCar"/>
    <w:qFormat/>
    <w:rsid w:val="008252F6"/>
    <w:pPr>
      <w:tabs>
        <w:tab w:val="left" w:pos="1701"/>
        <w:tab w:val="left" w:pos="2835"/>
        <w:tab w:val="left" w:pos="3969"/>
      </w:tabs>
      <w:spacing w:line="360" w:lineRule="auto"/>
      <w:jc w:val="center"/>
    </w:pPr>
    <w:rPr>
      <w:rFonts w:ascii="Arial" w:hAnsi="Arial" w:cs="Arial"/>
      <w:b/>
      <w:bCs/>
      <w:sz w:val="28"/>
      <w:szCs w:val="28"/>
    </w:rPr>
  </w:style>
  <w:style w:type="character" w:customStyle="1" w:styleId="TtuloCar">
    <w:name w:val="Título Car"/>
    <w:basedOn w:val="Fuentedeprrafopredeter"/>
    <w:link w:val="Ttulo"/>
    <w:rsid w:val="008252F6"/>
    <w:rPr>
      <w:rFonts w:ascii="Arial" w:eastAsia="Times New Roman" w:hAnsi="Arial" w:cs="Arial"/>
      <w:b/>
      <w:bCs/>
      <w:sz w:val="28"/>
      <w:szCs w:val="28"/>
      <w:lang w:val="es-ES_tradnl" w:eastAsia="es-ES"/>
    </w:rPr>
  </w:style>
  <w:style w:type="character" w:customStyle="1" w:styleId="Ttulo5Car">
    <w:name w:val="Título 5 Car"/>
    <w:basedOn w:val="Fuentedeprrafopredeter"/>
    <w:link w:val="Ttulo5"/>
    <w:uiPriority w:val="9"/>
    <w:semiHidden/>
    <w:rsid w:val="008252F6"/>
    <w:rPr>
      <w:rFonts w:ascii="Cambria" w:eastAsia="Times New Roman" w:hAnsi="Cambria" w:cs="Times New Roman"/>
      <w:color w:val="243F60"/>
      <w:sz w:val="20"/>
      <w:szCs w:val="20"/>
      <w:lang w:val="es-ES_tradnl" w:eastAsia="es-ES"/>
    </w:rPr>
  </w:style>
  <w:style w:type="paragraph" w:styleId="Textonotapie">
    <w:name w:val="footnote text"/>
    <w:basedOn w:val="Normal"/>
    <w:link w:val="TextonotapieCar"/>
    <w:semiHidden/>
    <w:rsid w:val="008252F6"/>
    <w:pPr>
      <w:overflowPunct/>
      <w:autoSpaceDE/>
      <w:autoSpaceDN/>
      <w:adjustRightInd/>
      <w:textAlignment w:val="auto"/>
    </w:pPr>
    <w:rPr>
      <w:lang w:val="es-CO"/>
    </w:rPr>
  </w:style>
  <w:style w:type="character" w:customStyle="1" w:styleId="TextonotapieCar">
    <w:name w:val="Texto nota pie Car"/>
    <w:basedOn w:val="Fuentedeprrafopredeter"/>
    <w:link w:val="Textonotapie"/>
    <w:semiHidden/>
    <w:rsid w:val="008252F6"/>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252F6"/>
    <w:rPr>
      <w:vertAlign w:val="superscript"/>
    </w:rPr>
  </w:style>
  <w:style w:type="paragraph" w:customStyle="1" w:styleId="BodyText2">
    <w:name w:val="Body Text 2"/>
    <w:basedOn w:val="Normal"/>
    <w:rsid w:val="008252F6"/>
    <w:pPr>
      <w:spacing w:line="360" w:lineRule="auto"/>
      <w:jc w:val="both"/>
    </w:pPr>
    <w:rPr>
      <w:rFonts w:ascii="Arial Narrow" w:hAnsi="Arial Narrow"/>
      <w:sz w:val="30"/>
      <w:lang w:val="es-ES"/>
    </w:rPr>
  </w:style>
  <w:style w:type="paragraph" w:styleId="Textoindependiente">
    <w:name w:val="Body Text"/>
    <w:basedOn w:val="Normal"/>
    <w:link w:val="TextoindependienteCar"/>
    <w:rsid w:val="008252F6"/>
    <w:pPr>
      <w:overflowPunct/>
      <w:autoSpaceDE/>
      <w:autoSpaceDN/>
      <w:adjustRightInd/>
      <w:spacing w:after="120"/>
      <w:textAlignment w:val="auto"/>
    </w:pPr>
    <w:rPr>
      <w:sz w:val="24"/>
      <w:szCs w:val="24"/>
      <w:lang w:val="es-ES"/>
    </w:rPr>
  </w:style>
  <w:style w:type="character" w:customStyle="1" w:styleId="TextoindependienteCar">
    <w:name w:val="Texto independiente Car"/>
    <w:basedOn w:val="Fuentedeprrafopredeter"/>
    <w:link w:val="Textoindependiente"/>
    <w:rsid w:val="008252F6"/>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10992</Words>
  <Characters>60457</Characters>
  <Application>Microsoft Office Word</Application>
  <DocSecurity>4</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damarisl</dc:creator>
  <cp:keywords/>
  <dc:description/>
  <cp:lastModifiedBy>hbermude</cp:lastModifiedBy>
  <cp:revision>2</cp:revision>
  <dcterms:created xsi:type="dcterms:W3CDTF">2010-06-22T16:24:00Z</dcterms:created>
  <dcterms:modified xsi:type="dcterms:W3CDTF">2010-06-22T16:24:00Z</dcterms:modified>
</cp:coreProperties>
</file>