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61D8D" w14:textId="77777777" w:rsidR="003257EE" w:rsidRPr="0029421B" w:rsidRDefault="003257EE" w:rsidP="003257EE">
      <w:pPr>
        <w:pStyle w:val="Ttulo"/>
        <w:tabs>
          <w:tab w:val="left" w:pos="1560"/>
        </w:tabs>
        <w:jc w:val="both"/>
        <w:rPr>
          <w:rFonts w:ascii="Bookman Old Style" w:hAnsi="Bookman Old Style" w:cs="Arial"/>
          <w:szCs w:val="28"/>
        </w:rPr>
      </w:pPr>
    </w:p>
    <w:p w14:paraId="058203A1" w14:textId="77777777" w:rsidR="00F853F0" w:rsidRPr="004A3847" w:rsidRDefault="00F853F0" w:rsidP="003257EE">
      <w:pPr>
        <w:tabs>
          <w:tab w:val="left" w:pos="1560"/>
        </w:tabs>
        <w:spacing w:line="360" w:lineRule="auto"/>
        <w:jc w:val="center"/>
        <w:rPr>
          <w:rFonts w:ascii="Bookman Old Style" w:hAnsi="Bookman Old Style" w:cs="Arial"/>
          <w:b/>
          <w:sz w:val="28"/>
          <w:szCs w:val="28"/>
        </w:rPr>
      </w:pPr>
      <w:r w:rsidRPr="004A3847">
        <w:rPr>
          <w:rFonts w:ascii="Bookman Old Style" w:hAnsi="Bookman Old Style" w:cs="Arial"/>
          <w:b/>
          <w:sz w:val="28"/>
          <w:szCs w:val="28"/>
        </w:rPr>
        <w:t xml:space="preserve">OCTAVIO AUGUSTO TEJEIRO DUQUE </w:t>
      </w:r>
    </w:p>
    <w:p w14:paraId="12FF8CE9" w14:textId="7B22EA43" w:rsidR="003257EE" w:rsidRPr="004A3847" w:rsidRDefault="003257EE" w:rsidP="009C5B37">
      <w:pPr>
        <w:tabs>
          <w:tab w:val="left" w:pos="1560"/>
        </w:tabs>
        <w:spacing w:line="360" w:lineRule="auto"/>
        <w:jc w:val="center"/>
        <w:rPr>
          <w:rFonts w:ascii="Bookman Old Style" w:hAnsi="Bookman Old Style" w:cs="Arial"/>
          <w:b/>
          <w:sz w:val="28"/>
          <w:szCs w:val="28"/>
        </w:rPr>
      </w:pPr>
      <w:r w:rsidRPr="004A3847">
        <w:rPr>
          <w:rFonts w:ascii="Bookman Old Style" w:hAnsi="Bookman Old Style" w:cs="Arial"/>
          <w:b/>
          <w:sz w:val="28"/>
          <w:szCs w:val="28"/>
        </w:rPr>
        <w:t>Magistrado ponente</w:t>
      </w:r>
    </w:p>
    <w:p w14:paraId="70CD80A3" w14:textId="77777777" w:rsidR="003257EE" w:rsidRPr="004A3847" w:rsidRDefault="003257EE" w:rsidP="009C5B37">
      <w:pPr>
        <w:tabs>
          <w:tab w:val="left" w:pos="1560"/>
        </w:tabs>
        <w:spacing w:line="360" w:lineRule="auto"/>
        <w:jc w:val="center"/>
        <w:rPr>
          <w:rFonts w:ascii="Bookman Old Style" w:hAnsi="Bookman Old Style" w:cs="Arial"/>
          <w:b/>
          <w:sz w:val="24"/>
          <w:szCs w:val="24"/>
        </w:rPr>
      </w:pPr>
    </w:p>
    <w:p w14:paraId="6A7C27E7" w14:textId="3813BBC9" w:rsidR="009C5B37" w:rsidRDefault="009C5B37" w:rsidP="009C5B37">
      <w:pPr>
        <w:pStyle w:val="Ttulo2"/>
        <w:tabs>
          <w:tab w:val="left" w:pos="1560"/>
        </w:tabs>
        <w:spacing w:before="0" w:after="0" w:line="360" w:lineRule="auto"/>
        <w:ind w:firstLine="709"/>
        <w:jc w:val="center"/>
        <w:rPr>
          <w:rFonts w:ascii="Bookman Old Style" w:hAnsi="Bookman Old Style" w:cs="Times New Roman"/>
          <w:bCs w:val="0"/>
          <w:i w:val="0"/>
          <w:iCs w:val="0"/>
          <w:lang w:val="es-ES_tradnl"/>
        </w:rPr>
      </w:pPr>
      <w:bookmarkStart w:id="0" w:name="_GoBack"/>
      <w:bookmarkEnd w:id="0"/>
      <w:r w:rsidRPr="009C5B37">
        <w:rPr>
          <w:rFonts w:ascii="Bookman Old Style" w:hAnsi="Bookman Old Style" w:cs="Times New Roman"/>
          <w:bCs w:val="0"/>
          <w:i w:val="0"/>
          <w:iCs w:val="0"/>
          <w:lang w:val="es-ES_tradnl"/>
        </w:rPr>
        <w:t>STC12541-2021</w:t>
      </w:r>
    </w:p>
    <w:p w14:paraId="4D688A19" w14:textId="418D72DC" w:rsidR="00F853F0" w:rsidRPr="004A3847" w:rsidRDefault="003257EE" w:rsidP="009C5B37">
      <w:pPr>
        <w:pStyle w:val="Ttulo2"/>
        <w:tabs>
          <w:tab w:val="left" w:pos="1560"/>
        </w:tabs>
        <w:spacing w:before="0" w:after="0" w:line="360" w:lineRule="auto"/>
        <w:ind w:firstLine="709"/>
        <w:jc w:val="center"/>
        <w:rPr>
          <w:rFonts w:ascii="Bookman Old Style" w:hAnsi="Bookman Old Style"/>
          <w:b w:val="0"/>
          <w:bCs w:val="0"/>
          <w:i w:val="0"/>
          <w:iCs w:val="0"/>
          <w:sz w:val="24"/>
          <w:szCs w:val="24"/>
          <w:lang w:val="es-ES_tradnl"/>
        </w:rPr>
      </w:pPr>
      <w:r w:rsidRPr="004A3847">
        <w:rPr>
          <w:rFonts w:ascii="Bookman Old Style" w:hAnsi="Bookman Old Style"/>
          <w:i w:val="0"/>
        </w:rPr>
        <w:t xml:space="preserve">Radicación </w:t>
      </w:r>
      <w:proofErr w:type="spellStart"/>
      <w:r w:rsidRPr="004A3847">
        <w:rPr>
          <w:rFonts w:ascii="Bookman Old Style" w:hAnsi="Bookman Old Style"/>
          <w:i w:val="0"/>
        </w:rPr>
        <w:t>nº</w:t>
      </w:r>
      <w:proofErr w:type="spellEnd"/>
      <w:r w:rsidRPr="004A3847">
        <w:rPr>
          <w:rFonts w:ascii="Bookman Old Style" w:hAnsi="Bookman Old Style"/>
          <w:i w:val="0"/>
        </w:rPr>
        <w:t xml:space="preserve"> </w:t>
      </w:r>
      <w:r w:rsidR="00F071F5" w:rsidRPr="00F071F5">
        <w:rPr>
          <w:rFonts w:ascii="Bookman Old Style" w:hAnsi="Bookman Old Style"/>
          <w:i w:val="0"/>
          <w:lang w:val="es-ES"/>
        </w:rPr>
        <w:t xml:space="preserve">11001-22-03-000-2021-01663-01 </w:t>
      </w:r>
      <w:r w:rsidR="00F853F0" w:rsidRPr="004A3847">
        <w:rPr>
          <w:rFonts w:ascii="Bookman Old Style" w:hAnsi="Bookman Old Style"/>
          <w:b w:val="0"/>
          <w:bCs w:val="0"/>
          <w:i w:val="0"/>
          <w:iCs w:val="0"/>
          <w:sz w:val="24"/>
          <w:szCs w:val="24"/>
          <w:lang w:val="es-ES_tradnl"/>
        </w:rPr>
        <w:t xml:space="preserve">(Aprobado en sesión de </w:t>
      </w:r>
      <w:r w:rsidR="00F071F5">
        <w:rPr>
          <w:rFonts w:ascii="Bookman Old Style" w:hAnsi="Bookman Old Style"/>
          <w:b w:val="0"/>
          <w:bCs w:val="0"/>
          <w:i w:val="0"/>
          <w:iCs w:val="0"/>
          <w:sz w:val="24"/>
          <w:szCs w:val="24"/>
          <w:lang w:val="es-ES_tradnl"/>
        </w:rPr>
        <w:t xml:space="preserve">veintidós de septiembre </w:t>
      </w:r>
      <w:r w:rsidR="00F853F0" w:rsidRPr="004A3847">
        <w:rPr>
          <w:rFonts w:ascii="Bookman Old Style" w:hAnsi="Bookman Old Style"/>
          <w:b w:val="0"/>
          <w:bCs w:val="0"/>
          <w:i w:val="0"/>
          <w:iCs w:val="0"/>
          <w:sz w:val="24"/>
          <w:szCs w:val="24"/>
          <w:lang w:val="es-ES_tradnl"/>
        </w:rPr>
        <w:t>de dos mil veintiuno)</w:t>
      </w:r>
    </w:p>
    <w:p w14:paraId="3E86D2A3" w14:textId="77777777" w:rsidR="00F853F0" w:rsidRPr="004A3847" w:rsidRDefault="00F853F0" w:rsidP="00F853F0">
      <w:pPr>
        <w:tabs>
          <w:tab w:val="left" w:pos="1560"/>
        </w:tabs>
        <w:overflowPunct w:val="0"/>
        <w:autoSpaceDE w:val="0"/>
        <w:autoSpaceDN w:val="0"/>
        <w:adjustRightInd w:val="0"/>
        <w:spacing w:line="360" w:lineRule="auto"/>
        <w:jc w:val="center"/>
        <w:textAlignment w:val="baseline"/>
        <w:rPr>
          <w:rFonts w:ascii="Bookman Old Style" w:hAnsi="Bookman Old Style" w:cs="Arial"/>
          <w:b/>
          <w:sz w:val="28"/>
          <w:szCs w:val="28"/>
          <w:lang w:val="es-ES_tradnl"/>
        </w:rPr>
      </w:pPr>
    </w:p>
    <w:p w14:paraId="554B8870" w14:textId="656FB84C" w:rsidR="00F853F0" w:rsidRPr="004A3847" w:rsidRDefault="00F853F0" w:rsidP="00F071F5">
      <w:pPr>
        <w:tabs>
          <w:tab w:val="left" w:pos="1560"/>
        </w:tabs>
        <w:overflowPunct w:val="0"/>
        <w:autoSpaceDE w:val="0"/>
        <w:autoSpaceDN w:val="0"/>
        <w:adjustRightInd w:val="0"/>
        <w:spacing w:line="360" w:lineRule="auto"/>
        <w:ind w:firstLine="708"/>
        <w:jc w:val="both"/>
        <w:textAlignment w:val="baseline"/>
        <w:rPr>
          <w:rFonts w:ascii="Bookman Old Style" w:hAnsi="Bookman Old Style" w:cs="Arial"/>
          <w:sz w:val="28"/>
          <w:szCs w:val="28"/>
          <w:lang w:val="es-ES_tradnl"/>
        </w:rPr>
      </w:pPr>
      <w:r w:rsidRPr="004A3847">
        <w:rPr>
          <w:rFonts w:ascii="Bookman Old Style" w:hAnsi="Bookman Old Style" w:cs="Arial"/>
          <w:sz w:val="28"/>
          <w:szCs w:val="28"/>
          <w:lang w:val="es-ES_tradnl"/>
        </w:rPr>
        <w:t xml:space="preserve">Bogotá, D.C., </w:t>
      </w:r>
      <w:r w:rsidR="00F071F5">
        <w:rPr>
          <w:rFonts w:ascii="Bookman Old Style" w:hAnsi="Bookman Old Style" w:cs="Arial"/>
          <w:sz w:val="28"/>
          <w:szCs w:val="28"/>
          <w:lang w:val="es-ES_tradnl"/>
        </w:rPr>
        <w:t xml:space="preserve">veintitrés (23) de septiembre de </w:t>
      </w:r>
      <w:r w:rsidRPr="004A3847">
        <w:rPr>
          <w:rFonts w:ascii="Bookman Old Style" w:hAnsi="Bookman Old Style" w:cs="Arial"/>
          <w:sz w:val="28"/>
          <w:szCs w:val="28"/>
          <w:lang w:val="es-ES_tradnl"/>
        </w:rPr>
        <w:t>dos mil veintiuno (2021).</w:t>
      </w:r>
    </w:p>
    <w:p w14:paraId="23E64A15" w14:textId="77777777" w:rsidR="003257EE" w:rsidRPr="004A3847" w:rsidRDefault="003257EE" w:rsidP="003257EE">
      <w:pPr>
        <w:autoSpaceDE w:val="0"/>
        <w:autoSpaceDN w:val="0"/>
        <w:adjustRightInd w:val="0"/>
        <w:spacing w:line="360" w:lineRule="auto"/>
        <w:jc w:val="both"/>
        <w:rPr>
          <w:rStyle w:val="FontStyle25"/>
          <w:lang w:eastAsia="es-ES_tradnl"/>
        </w:rPr>
      </w:pPr>
    </w:p>
    <w:p w14:paraId="40CC7AC7" w14:textId="65F55137" w:rsidR="00E43A49" w:rsidRDefault="00C529C9" w:rsidP="00E43A49">
      <w:pPr>
        <w:spacing w:line="360" w:lineRule="auto"/>
        <w:ind w:firstLine="709"/>
        <w:jc w:val="both"/>
        <w:rPr>
          <w:rFonts w:ascii="Bookman Old Style" w:hAnsi="Bookman Old Style" w:cs="Arial"/>
          <w:bCs/>
          <w:sz w:val="28"/>
          <w:szCs w:val="28"/>
        </w:rPr>
      </w:pPr>
      <w:r w:rsidRPr="004A3847">
        <w:rPr>
          <w:rFonts w:ascii="Bookman Old Style" w:hAnsi="Bookman Old Style" w:cs="Arial"/>
          <w:bCs/>
          <w:sz w:val="28"/>
          <w:szCs w:val="28"/>
        </w:rPr>
        <w:t xml:space="preserve">Se dirime la impugnación del fallo de </w:t>
      </w:r>
      <w:r w:rsidR="004D43DE">
        <w:rPr>
          <w:rFonts w:ascii="Bookman Old Style" w:hAnsi="Bookman Old Style" w:cs="Arial"/>
          <w:bCs/>
          <w:sz w:val="28"/>
          <w:szCs w:val="28"/>
        </w:rPr>
        <w:t>19</w:t>
      </w:r>
      <w:r w:rsidRPr="004A3847">
        <w:rPr>
          <w:rFonts w:ascii="Bookman Old Style" w:hAnsi="Bookman Old Style" w:cs="Arial"/>
          <w:bCs/>
          <w:sz w:val="28"/>
          <w:szCs w:val="28"/>
        </w:rPr>
        <w:t xml:space="preserve"> de </w:t>
      </w:r>
      <w:r w:rsidR="00B97BA5" w:rsidRPr="004A3847">
        <w:rPr>
          <w:rFonts w:ascii="Bookman Old Style" w:hAnsi="Bookman Old Style" w:cs="Arial"/>
          <w:bCs/>
          <w:sz w:val="28"/>
          <w:szCs w:val="28"/>
        </w:rPr>
        <w:t>a</w:t>
      </w:r>
      <w:r w:rsidR="004D43DE">
        <w:rPr>
          <w:rFonts w:ascii="Bookman Old Style" w:hAnsi="Bookman Old Style" w:cs="Arial"/>
          <w:bCs/>
          <w:sz w:val="28"/>
          <w:szCs w:val="28"/>
        </w:rPr>
        <w:t>gosto</w:t>
      </w:r>
      <w:r w:rsidR="00B97BA5" w:rsidRPr="004A3847">
        <w:rPr>
          <w:rFonts w:ascii="Bookman Old Style" w:hAnsi="Bookman Old Style" w:cs="Arial"/>
          <w:bCs/>
          <w:sz w:val="28"/>
          <w:szCs w:val="28"/>
        </w:rPr>
        <w:t xml:space="preserve"> </w:t>
      </w:r>
      <w:r w:rsidRPr="004A3847">
        <w:rPr>
          <w:rFonts w:ascii="Bookman Old Style" w:hAnsi="Bookman Old Style" w:cs="Arial"/>
          <w:bCs/>
          <w:sz w:val="28"/>
          <w:szCs w:val="28"/>
        </w:rPr>
        <w:t>de 202</w:t>
      </w:r>
      <w:r w:rsidR="00B97BA5" w:rsidRPr="004A3847">
        <w:rPr>
          <w:rFonts w:ascii="Bookman Old Style" w:hAnsi="Bookman Old Style" w:cs="Arial"/>
          <w:bCs/>
          <w:sz w:val="28"/>
          <w:szCs w:val="28"/>
        </w:rPr>
        <w:t>1</w:t>
      </w:r>
      <w:r w:rsidRPr="004A3847">
        <w:rPr>
          <w:rFonts w:ascii="Bookman Old Style" w:hAnsi="Bookman Old Style" w:cs="Arial"/>
          <w:bCs/>
          <w:sz w:val="28"/>
          <w:szCs w:val="28"/>
        </w:rPr>
        <w:t xml:space="preserve">, dictado por la </w:t>
      </w:r>
      <w:r w:rsidR="00280D75" w:rsidRPr="004A3847">
        <w:rPr>
          <w:rFonts w:ascii="Bookman Old Style" w:hAnsi="Bookman Old Style" w:cs="Arial"/>
          <w:bCs/>
          <w:sz w:val="28"/>
          <w:szCs w:val="28"/>
        </w:rPr>
        <w:t xml:space="preserve">Sala Civil </w:t>
      </w:r>
      <w:r w:rsidR="004D43DE">
        <w:rPr>
          <w:rFonts w:ascii="Bookman Old Style" w:hAnsi="Bookman Old Style" w:cs="Arial"/>
          <w:bCs/>
          <w:sz w:val="28"/>
          <w:szCs w:val="28"/>
        </w:rPr>
        <w:t xml:space="preserve">del Tribunal Superior del Distrito Judicial de Bogotá </w:t>
      </w:r>
      <w:r w:rsidRPr="004A3847">
        <w:rPr>
          <w:rFonts w:ascii="Bookman Old Style" w:hAnsi="Bookman Old Style" w:cs="Arial"/>
          <w:bCs/>
          <w:sz w:val="28"/>
          <w:szCs w:val="28"/>
        </w:rPr>
        <w:t xml:space="preserve">en la acción de tutela promovida por </w:t>
      </w:r>
      <w:r w:rsidR="00E43A49" w:rsidRPr="00E43A49">
        <w:rPr>
          <w:rFonts w:ascii="Bookman Old Style" w:hAnsi="Bookman Old Style" w:cs="Arial"/>
          <w:bCs/>
          <w:sz w:val="28"/>
          <w:szCs w:val="28"/>
        </w:rPr>
        <w:t>Teófilo Calderón Escandón</w:t>
      </w:r>
      <w:r w:rsidR="00E43A49">
        <w:rPr>
          <w:rFonts w:ascii="Bookman Old Style" w:hAnsi="Bookman Old Style" w:cs="Arial"/>
          <w:bCs/>
          <w:sz w:val="28"/>
          <w:szCs w:val="28"/>
        </w:rPr>
        <w:t xml:space="preserve"> </w:t>
      </w:r>
      <w:r w:rsidRPr="004A3847">
        <w:rPr>
          <w:rFonts w:ascii="Bookman Old Style" w:hAnsi="Bookman Old Style" w:cs="Arial"/>
          <w:bCs/>
          <w:sz w:val="28"/>
          <w:szCs w:val="28"/>
        </w:rPr>
        <w:t xml:space="preserve">contra </w:t>
      </w:r>
      <w:r w:rsidR="00E43A49">
        <w:rPr>
          <w:rFonts w:ascii="Bookman Old Style" w:hAnsi="Bookman Old Style" w:cs="Arial"/>
          <w:bCs/>
          <w:sz w:val="28"/>
          <w:szCs w:val="28"/>
        </w:rPr>
        <w:t xml:space="preserve">el </w:t>
      </w:r>
      <w:r w:rsidR="00E43A49" w:rsidRPr="00E43A49">
        <w:rPr>
          <w:rFonts w:ascii="Bookman Old Style" w:hAnsi="Bookman Old Style" w:cs="Arial"/>
          <w:bCs/>
          <w:sz w:val="28"/>
          <w:szCs w:val="28"/>
        </w:rPr>
        <w:t>Juzgado</w:t>
      </w:r>
      <w:r w:rsidR="00E43A49">
        <w:rPr>
          <w:rFonts w:ascii="Bookman Old Style" w:hAnsi="Bookman Old Style" w:cs="Arial"/>
          <w:bCs/>
          <w:sz w:val="28"/>
          <w:szCs w:val="28"/>
        </w:rPr>
        <w:t xml:space="preserve"> Octavo Civil </w:t>
      </w:r>
      <w:r w:rsidR="00E43A49" w:rsidRPr="00E43A49">
        <w:rPr>
          <w:rFonts w:ascii="Bookman Old Style" w:hAnsi="Bookman Old Style" w:cs="Arial"/>
          <w:bCs/>
          <w:sz w:val="28"/>
          <w:szCs w:val="28"/>
        </w:rPr>
        <w:t>de</w:t>
      </w:r>
      <w:r w:rsidR="00E43A49">
        <w:rPr>
          <w:rFonts w:ascii="Bookman Old Style" w:hAnsi="Bookman Old Style" w:cs="Arial"/>
          <w:bCs/>
          <w:sz w:val="28"/>
          <w:szCs w:val="28"/>
        </w:rPr>
        <w:t xml:space="preserve">l </w:t>
      </w:r>
      <w:r w:rsidR="00E43A49" w:rsidRPr="00E43A49">
        <w:rPr>
          <w:rFonts w:ascii="Bookman Old Style" w:hAnsi="Bookman Old Style" w:cs="Arial"/>
          <w:bCs/>
          <w:sz w:val="28"/>
          <w:szCs w:val="28"/>
        </w:rPr>
        <w:t>Circuito de</w:t>
      </w:r>
      <w:r w:rsidR="00E43A49">
        <w:rPr>
          <w:rFonts w:ascii="Bookman Old Style" w:hAnsi="Bookman Old Style" w:cs="Arial"/>
          <w:bCs/>
          <w:sz w:val="28"/>
          <w:szCs w:val="28"/>
        </w:rPr>
        <w:t xml:space="preserve"> esta ciudad.</w:t>
      </w:r>
    </w:p>
    <w:p w14:paraId="36BC927D" w14:textId="77777777" w:rsidR="003257EE" w:rsidRPr="004A3847" w:rsidRDefault="003257EE" w:rsidP="003257EE">
      <w:pPr>
        <w:pStyle w:val="Textoindependiente"/>
        <w:tabs>
          <w:tab w:val="left" w:pos="709"/>
        </w:tabs>
        <w:spacing w:after="0" w:line="360" w:lineRule="auto"/>
        <w:jc w:val="both"/>
        <w:rPr>
          <w:rFonts w:ascii="Bookman Old Style" w:hAnsi="Bookman Old Style" w:cs="Arial"/>
          <w:b/>
          <w:bCs/>
          <w:sz w:val="24"/>
          <w:szCs w:val="24"/>
        </w:rPr>
      </w:pPr>
    </w:p>
    <w:p w14:paraId="7B4C8818" w14:textId="568CE003" w:rsidR="003257EE" w:rsidRPr="004A3847" w:rsidRDefault="003257EE" w:rsidP="003257EE">
      <w:pPr>
        <w:shd w:val="clear" w:color="auto" w:fill="FFFFFF" w:themeFill="background1"/>
        <w:spacing w:line="360" w:lineRule="auto"/>
        <w:jc w:val="center"/>
        <w:rPr>
          <w:rFonts w:ascii="Bookman Old Style" w:hAnsi="Bookman Old Style"/>
          <w:b/>
          <w:sz w:val="28"/>
          <w:szCs w:val="28"/>
          <w:lang w:val="es-ES"/>
        </w:rPr>
      </w:pPr>
      <w:r w:rsidRPr="004A3847">
        <w:rPr>
          <w:rFonts w:ascii="Bookman Old Style" w:hAnsi="Bookman Old Style"/>
          <w:b/>
          <w:sz w:val="28"/>
          <w:szCs w:val="28"/>
          <w:lang w:val="es-ES"/>
        </w:rPr>
        <w:t>ANTECEDENTES</w:t>
      </w:r>
    </w:p>
    <w:p w14:paraId="420DF3E2" w14:textId="77777777" w:rsidR="003257EE" w:rsidRPr="004A3847" w:rsidRDefault="003257EE" w:rsidP="003257EE">
      <w:pPr>
        <w:shd w:val="clear" w:color="auto" w:fill="FFFFFF" w:themeFill="background1"/>
        <w:spacing w:line="360" w:lineRule="auto"/>
        <w:jc w:val="center"/>
        <w:rPr>
          <w:rFonts w:ascii="Bookman Old Style" w:hAnsi="Bookman Old Style"/>
          <w:bCs/>
          <w:sz w:val="24"/>
          <w:szCs w:val="24"/>
          <w:lang w:val="es-ES_tradnl" w:eastAsia="x-none"/>
        </w:rPr>
      </w:pPr>
    </w:p>
    <w:p w14:paraId="6A764C87" w14:textId="3589DE5B" w:rsidR="00E23B04" w:rsidRDefault="003257EE" w:rsidP="005A1927">
      <w:pPr>
        <w:shd w:val="clear" w:color="auto" w:fill="FFFFFF" w:themeFill="background1"/>
        <w:spacing w:line="360" w:lineRule="auto"/>
        <w:ind w:firstLine="709"/>
        <w:jc w:val="both"/>
        <w:rPr>
          <w:rFonts w:ascii="Bookman Old Style" w:hAnsi="Bookman Old Style"/>
          <w:sz w:val="28"/>
          <w:szCs w:val="28"/>
          <w:lang w:val="es-ES_tradnl" w:eastAsia="x-none"/>
        </w:rPr>
      </w:pPr>
      <w:r w:rsidRPr="004A3847">
        <w:rPr>
          <w:rFonts w:ascii="Bookman Old Style" w:hAnsi="Bookman Old Style"/>
          <w:sz w:val="28"/>
          <w:szCs w:val="28"/>
          <w:lang w:val="es-ES_tradnl" w:eastAsia="x-none"/>
        </w:rPr>
        <w:t xml:space="preserve">1.  </w:t>
      </w:r>
      <w:r w:rsidR="006F6707" w:rsidRPr="004A3847">
        <w:rPr>
          <w:rFonts w:ascii="Bookman Old Style" w:hAnsi="Bookman Old Style"/>
          <w:sz w:val="28"/>
          <w:szCs w:val="28"/>
          <w:lang w:val="es-ES_tradnl" w:eastAsia="x-none"/>
        </w:rPr>
        <w:t>El</w:t>
      </w:r>
      <w:r w:rsidR="00392F8E" w:rsidRPr="004A3847">
        <w:rPr>
          <w:rFonts w:ascii="Bookman Old Style" w:hAnsi="Bookman Old Style"/>
          <w:sz w:val="28"/>
          <w:szCs w:val="28"/>
          <w:lang w:val="es-ES_tradnl" w:eastAsia="x-none"/>
        </w:rPr>
        <w:t xml:space="preserve"> </w:t>
      </w:r>
      <w:r w:rsidR="008E6534">
        <w:rPr>
          <w:rFonts w:ascii="Bookman Old Style" w:hAnsi="Bookman Old Style"/>
          <w:sz w:val="28"/>
          <w:szCs w:val="28"/>
          <w:lang w:val="es-ES_tradnl" w:eastAsia="x-none"/>
        </w:rPr>
        <w:t>libelista</w:t>
      </w:r>
      <w:r w:rsidR="00392F8E" w:rsidRPr="004A3847">
        <w:rPr>
          <w:rFonts w:ascii="Bookman Old Style" w:hAnsi="Bookman Old Style"/>
          <w:sz w:val="28"/>
          <w:szCs w:val="28"/>
          <w:lang w:val="es-ES_tradnl" w:eastAsia="x-none"/>
        </w:rPr>
        <w:t xml:space="preserve"> </w:t>
      </w:r>
      <w:r w:rsidR="003C775C" w:rsidRPr="004A3847">
        <w:rPr>
          <w:rFonts w:ascii="Bookman Old Style" w:hAnsi="Bookman Old Style"/>
          <w:sz w:val="28"/>
          <w:szCs w:val="28"/>
          <w:lang w:val="es-ES_tradnl" w:eastAsia="x-none"/>
        </w:rPr>
        <w:t xml:space="preserve">solicitó </w:t>
      </w:r>
      <w:r w:rsidR="00E43A49">
        <w:rPr>
          <w:rFonts w:ascii="Bookman Old Style" w:hAnsi="Bookman Old Style"/>
          <w:sz w:val="28"/>
          <w:szCs w:val="28"/>
          <w:lang w:val="es-ES_tradnl" w:eastAsia="x-none"/>
        </w:rPr>
        <w:t>ordenar al estrado convocado admitir el proceso de reorganización empresarial</w:t>
      </w:r>
      <w:r w:rsidR="005A1927">
        <w:rPr>
          <w:rFonts w:ascii="Bookman Old Style" w:hAnsi="Bookman Old Style"/>
          <w:sz w:val="28"/>
          <w:szCs w:val="28"/>
          <w:lang w:val="es-ES_tradnl" w:eastAsia="x-none"/>
        </w:rPr>
        <w:t xml:space="preserve"> bajo el radicado n° 2020-00238-00, ya que cumplió a cabalidad tanto los requisitos </w:t>
      </w:r>
      <w:r w:rsidR="005A1927" w:rsidRPr="005A1927">
        <w:rPr>
          <w:rFonts w:ascii="Bookman Old Style" w:hAnsi="Bookman Old Style"/>
          <w:sz w:val="28"/>
          <w:szCs w:val="28"/>
          <w:lang w:val="es-ES_tradnl" w:eastAsia="x-none"/>
        </w:rPr>
        <w:t>exigidos en la Ley 1116 de 2006,</w:t>
      </w:r>
      <w:r w:rsidR="005A1927">
        <w:rPr>
          <w:rFonts w:ascii="Bookman Old Style" w:hAnsi="Bookman Old Style"/>
          <w:sz w:val="28"/>
          <w:szCs w:val="28"/>
          <w:lang w:val="es-ES_tradnl" w:eastAsia="x-none"/>
        </w:rPr>
        <w:t xml:space="preserve"> como los requerimientos efectuados por la titular del despacho en el auto </w:t>
      </w:r>
      <w:proofErr w:type="spellStart"/>
      <w:r w:rsidR="00112E24">
        <w:rPr>
          <w:rFonts w:ascii="Bookman Old Style" w:hAnsi="Bookman Old Style"/>
          <w:sz w:val="28"/>
          <w:szCs w:val="28"/>
          <w:lang w:val="es-ES_tradnl" w:eastAsia="x-none"/>
        </w:rPr>
        <w:t>in</w:t>
      </w:r>
      <w:r w:rsidR="005A1927">
        <w:rPr>
          <w:rFonts w:ascii="Bookman Old Style" w:hAnsi="Bookman Old Style"/>
          <w:sz w:val="28"/>
          <w:szCs w:val="28"/>
          <w:lang w:val="es-ES_tradnl" w:eastAsia="x-none"/>
        </w:rPr>
        <w:t>admisorio</w:t>
      </w:r>
      <w:proofErr w:type="spellEnd"/>
      <w:r w:rsidR="005A1927">
        <w:rPr>
          <w:rFonts w:ascii="Bookman Old Style" w:hAnsi="Bookman Old Style"/>
          <w:sz w:val="28"/>
          <w:szCs w:val="28"/>
          <w:lang w:val="es-ES_tradnl" w:eastAsia="x-none"/>
        </w:rPr>
        <w:t xml:space="preserve"> </w:t>
      </w:r>
      <w:r w:rsidR="00E23B04">
        <w:rPr>
          <w:rFonts w:ascii="Bookman Old Style" w:hAnsi="Bookman Old Style"/>
          <w:sz w:val="28"/>
          <w:szCs w:val="28"/>
          <w:lang w:val="es-ES_tradnl" w:eastAsia="x-none"/>
        </w:rPr>
        <w:t>(20 oct. 2020).</w:t>
      </w:r>
    </w:p>
    <w:p w14:paraId="22A59620" w14:textId="77777777" w:rsidR="00E23B04" w:rsidRDefault="00E23B04" w:rsidP="00BF46E1">
      <w:pPr>
        <w:shd w:val="clear" w:color="auto" w:fill="FFFFFF" w:themeFill="background1"/>
        <w:spacing w:line="360" w:lineRule="auto"/>
        <w:ind w:firstLine="709"/>
        <w:jc w:val="both"/>
        <w:rPr>
          <w:rFonts w:ascii="Bookman Old Style" w:eastAsia="Calibri" w:hAnsi="Bookman Old Style" w:cs="Arial"/>
          <w:sz w:val="28"/>
          <w:szCs w:val="28"/>
          <w:lang w:val="es-ES"/>
        </w:rPr>
      </w:pPr>
    </w:p>
    <w:p w14:paraId="5E520153" w14:textId="0982BAF0" w:rsidR="00F03BAD" w:rsidRPr="006C6CBF" w:rsidRDefault="00941BC1" w:rsidP="00701B12">
      <w:pPr>
        <w:shd w:val="clear" w:color="auto" w:fill="FFFFFF" w:themeFill="background1"/>
        <w:spacing w:line="360" w:lineRule="auto"/>
        <w:ind w:firstLine="709"/>
        <w:jc w:val="both"/>
        <w:rPr>
          <w:rFonts w:ascii="Bookman Old Style" w:eastAsia="Calibri" w:hAnsi="Bookman Old Style" w:cs="Arial"/>
          <w:i/>
          <w:iCs/>
          <w:sz w:val="28"/>
          <w:szCs w:val="28"/>
          <w:lang w:val="es-ES"/>
        </w:rPr>
      </w:pPr>
      <w:r w:rsidRPr="004A3847">
        <w:rPr>
          <w:rFonts w:ascii="Bookman Old Style" w:eastAsia="Calibri" w:hAnsi="Bookman Old Style" w:cs="Arial"/>
          <w:sz w:val="28"/>
          <w:szCs w:val="28"/>
          <w:lang w:val="es-ES"/>
        </w:rPr>
        <w:lastRenderedPageBreak/>
        <w:t xml:space="preserve">En síntesis, expuso que </w:t>
      </w:r>
      <w:r w:rsidR="00C60732">
        <w:rPr>
          <w:rFonts w:ascii="Bookman Old Style" w:eastAsia="Calibri" w:hAnsi="Bookman Old Style" w:cs="Arial"/>
          <w:sz w:val="28"/>
          <w:szCs w:val="28"/>
          <w:lang w:val="es-ES"/>
        </w:rPr>
        <w:t xml:space="preserve">es comerciante dedicado al transporte terrestre; sin embargo, por su estado de iliquidez </w:t>
      </w:r>
      <w:r w:rsidR="00F74FA7">
        <w:rPr>
          <w:rFonts w:ascii="Bookman Old Style" w:eastAsia="Calibri" w:hAnsi="Bookman Old Style" w:cs="Arial"/>
          <w:sz w:val="28"/>
          <w:szCs w:val="28"/>
          <w:lang w:val="es-ES"/>
        </w:rPr>
        <w:t>incumplió</w:t>
      </w:r>
      <w:r w:rsidR="00C60732">
        <w:rPr>
          <w:rFonts w:ascii="Bookman Old Style" w:eastAsia="Calibri" w:hAnsi="Bookman Old Style" w:cs="Arial"/>
          <w:sz w:val="28"/>
          <w:szCs w:val="28"/>
          <w:lang w:val="es-ES"/>
        </w:rPr>
        <w:t xml:space="preserve"> el pago de sus obligaciones, </w:t>
      </w:r>
      <w:r w:rsidR="00112E24">
        <w:rPr>
          <w:rFonts w:ascii="Bookman Old Style" w:eastAsia="Calibri" w:hAnsi="Bookman Old Style" w:cs="Arial"/>
          <w:sz w:val="28"/>
          <w:szCs w:val="28"/>
          <w:lang w:val="es-ES"/>
        </w:rPr>
        <w:t xml:space="preserve">de ahí que, </w:t>
      </w:r>
      <w:r w:rsidR="00C60732">
        <w:rPr>
          <w:rFonts w:ascii="Bookman Old Style" w:eastAsia="Calibri" w:hAnsi="Bookman Old Style" w:cs="Arial"/>
          <w:sz w:val="28"/>
          <w:szCs w:val="28"/>
          <w:lang w:val="es-ES"/>
        </w:rPr>
        <w:t xml:space="preserve">presentó demanda de insolvencia empresarial, </w:t>
      </w:r>
      <w:r w:rsidR="00F74FA7">
        <w:rPr>
          <w:rFonts w:ascii="Bookman Old Style" w:eastAsia="Calibri" w:hAnsi="Bookman Old Style" w:cs="Arial"/>
          <w:sz w:val="28"/>
          <w:szCs w:val="28"/>
          <w:lang w:val="es-ES"/>
        </w:rPr>
        <w:t xml:space="preserve">decurso que </w:t>
      </w:r>
      <w:r w:rsidR="008508E1">
        <w:rPr>
          <w:rFonts w:ascii="Bookman Old Style" w:eastAsia="Calibri" w:hAnsi="Bookman Old Style" w:cs="Arial"/>
          <w:sz w:val="28"/>
          <w:szCs w:val="28"/>
          <w:lang w:val="es-ES"/>
        </w:rPr>
        <w:t>se asignó</w:t>
      </w:r>
      <w:r w:rsidR="00C60732">
        <w:rPr>
          <w:rFonts w:ascii="Bookman Old Style" w:eastAsia="Calibri" w:hAnsi="Bookman Old Style" w:cs="Arial"/>
          <w:sz w:val="28"/>
          <w:szCs w:val="28"/>
          <w:lang w:val="es-ES"/>
        </w:rPr>
        <w:t xml:space="preserve"> a la agencia judicial encartada</w:t>
      </w:r>
      <w:r w:rsidR="00F74FA7">
        <w:rPr>
          <w:rFonts w:ascii="Bookman Old Style" w:eastAsia="Calibri" w:hAnsi="Bookman Old Style" w:cs="Arial"/>
          <w:sz w:val="28"/>
          <w:szCs w:val="28"/>
          <w:lang w:val="es-ES"/>
        </w:rPr>
        <w:t>, quién inadmitió (20 oct. 2020)</w:t>
      </w:r>
      <w:r w:rsidR="00112E24">
        <w:rPr>
          <w:rFonts w:ascii="Bookman Old Style" w:eastAsia="Calibri" w:hAnsi="Bookman Old Style" w:cs="Arial"/>
          <w:sz w:val="28"/>
          <w:szCs w:val="28"/>
          <w:lang w:val="es-ES"/>
        </w:rPr>
        <w:t xml:space="preserve"> y posteriormente rechazó (12 mar. 2021), por no haber </w:t>
      </w:r>
      <w:r w:rsidR="00EF7D33">
        <w:rPr>
          <w:rFonts w:ascii="Bookman Old Style" w:eastAsia="Calibri" w:hAnsi="Bookman Old Style" w:cs="Arial"/>
          <w:sz w:val="28"/>
          <w:szCs w:val="28"/>
          <w:lang w:val="es-ES"/>
        </w:rPr>
        <w:t xml:space="preserve">aportado la contabilidad conforme </w:t>
      </w:r>
      <w:r w:rsidR="00EF7D33" w:rsidRPr="00EF7D33">
        <w:rPr>
          <w:rFonts w:ascii="Bookman Old Style" w:eastAsia="Calibri" w:hAnsi="Bookman Old Style" w:cs="Arial"/>
          <w:sz w:val="28"/>
          <w:szCs w:val="28"/>
          <w:lang w:val="es-ES"/>
        </w:rPr>
        <w:t>prescripciones legales</w:t>
      </w:r>
      <w:r w:rsidR="00BF5E83">
        <w:rPr>
          <w:rFonts w:ascii="Bookman Old Style" w:eastAsia="Calibri" w:hAnsi="Bookman Old Style" w:cs="Arial"/>
          <w:sz w:val="28"/>
          <w:szCs w:val="28"/>
          <w:lang w:val="es-ES"/>
        </w:rPr>
        <w:t xml:space="preserve"> </w:t>
      </w:r>
      <w:r w:rsidR="00BF5E83" w:rsidRPr="00BF5E83">
        <w:rPr>
          <w:rFonts w:ascii="Bookman Old Style" w:eastAsia="Calibri" w:hAnsi="Bookman Old Style" w:cs="Arial"/>
          <w:sz w:val="24"/>
          <w:szCs w:val="24"/>
          <w:lang w:val="es-ES"/>
        </w:rPr>
        <w:t>(a</w:t>
      </w:r>
      <w:r w:rsidR="00BF5E83" w:rsidRPr="00BF5E83">
        <w:rPr>
          <w:rFonts w:ascii="Bookman Old Style" w:eastAsia="Calibri" w:hAnsi="Bookman Old Style" w:cs="Arial"/>
          <w:i/>
          <w:iCs/>
          <w:sz w:val="24"/>
          <w:szCs w:val="24"/>
          <w:lang w:val="es-ES"/>
        </w:rPr>
        <w:t>rtículos 19, numeral 3°, 28, 48 y 50 del Código de Comercio, canon 125 del Decreto 2649 de 1993 y preceptos 10, numeral 2 y 13 de la Ley 1116 de 2006</w:t>
      </w:r>
      <w:r w:rsidR="00BF5E83" w:rsidRPr="00BF5E83">
        <w:rPr>
          <w:rFonts w:ascii="Bookman Old Style" w:eastAsia="Calibri" w:hAnsi="Bookman Old Style" w:cs="Arial"/>
          <w:sz w:val="24"/>
          <w:szCs w:val="24"/>
          <w:lang w:val="es-ES"/>
        </w:rPr>
        <w:t>)</w:t>
      </w:r>
      <w:r w:rsidR="00BF5E83">
        <w:rPr>
          <w:rFonts w:ascii="Bookman Old Style" w:eastAsia="Calibri" w:hAnsi="Bookman Old Style" w:cs="Arial"/>
          <w:sz w:val="28"/>
          <w:szCs w:val="28"/>
          <w:lang w:val="es-ES"/>
        </w:rPr>
        <w:t xml:space="preserve">, </w:t>
      </w:r>
      <w:r w:rsidR="009B6876">
        <w:rPr>
          <w:rFonts w:ascii="Bookman Old Style" w:eastAsia="Calibri" w:hAnsi="Bookman Old Style" w:cs="Arial"/>
          <w:sz w:val="28"/>
          <w:szCs w:val="28"/>
          <w:lang w:val="es-ES"/>
        </w:rPr>
        <w:t xml:space="preserve">decisión que recurrió en reposición (18 mar.), ya que en su calidad de persona natural comerciante está </w:t>
      </w:r>
      <w:r w:rsidR="009B6876" w:rsidRPr="00F03BAD">
        <w:rPr>
          <w:rFonts w:ascii="Bookman Old Style" w:eastAsia="Calibri" w:hAnsi="Bookman Old Style" w:cs="Arial"/>
          <w:i/>
          <w:iCs/>
          <w:sz w:val="28"/>
          <w:szCs w:val="28"/>
          <w:lang w:val="es-ES"/>
        </w:rPr>
        <w:t>«cobijad[o] por la Ley 1314 de 2009, y sus Decretos reglamentarios</w:t>
      </w:r>
      <w:r w:rsidR="00F03BAD" w:rsidRPr="00F03BAD">
        <w:rPr>
          <w:rFonts w:ascii="Bookman Old Style" w:eastAsia="Calibri" w:hAnsi="Bookman Old Style" w:cs="Arial"/>
          <w:i/>
          <w:iCs/>
          <w:sz w:val="28"/>
          <w:szCs w:val="28"/>
          <w:lang w:val="es-ES"/>
        </w:rPr>
        <w:t>»</w:t>
      </w:r>
      <w:r w:rsidR="00F03BAD">
        <w:rPr>
          <w:rFonts w:ascii="Bookman Old Style" w:eastAsia="Calibri" w:hAnsi="Bookman Old Style" w:cs="Arial"/>
          <w:i/>
          <w:iCs/>
          <w:sz w:val="28"/>
          <w:szCs w:val="28"/>
          <w:lang w:val="es-ES"/>
        </w:rPr>
        <w:t xml:space="preserve">; </w:t>
      </w:r>
      <w:r w:rsidR="00F03BAD" w:rsidRPr="00F03BAD">
        <w:rPr>
          <w:rFonts w:ascii="Bookman Old Style" w:eastAsia="Calibri" w:hAnsi="Bookman Old Style" w:cs="Arial"/>
          <w:sz w:val="28"/>
          <w:szCs w:val="28"/>
          <w:lang w:val="es-ES"/>
        </w:rPr>
        <w:t>no obstante</w:t>
      </w:r>
      <w:r w:rsidR="00674FE8">
        <w:rPr>
          <w:rFonts w:ascii="Bookman Old Style" w:eastAsia="Calibri" w:hAnsi="Bookman Old Style" w:cs="Arial"/>
          <w:sz w:val="28"/>
          <w:szCs w:val="28"/>
          <w:lang w:val="es-ES"/>
        </w:rPr>
        <w:t>,</w:t>
      </w:r>
      <w:r w:rsidR="00F03BAD" w:rsidRPr="00F03BAD">
        <w:rPr>
          <w:rFonts w:ascii="Bookman Old Style" w:eastAsia="Calibri" w:hAnsi="Bookman Old Style" w:cs="Arial"/>
          <w:sz w:val="28"/>
          <w:szCs w:val="28"/>
          <w:lang w:val="es-ES"/>
        </w:rPr>
        <w:t xml:space="preserve"> </w:t>
      </w:r>
      <w:r w:rsidR="00F03BAD">
        <w:rPr>
          <w:rFonts w:ascii="Bookman Old Style" w:eastAsia="Calibri" w:hAnsi="Bookman Old Style" w:cs="Arial"/>
          <w:sz w:val="28"/>
          <w:szCs w:val="28"/>
          <w:lang w:val="es-ES"/>
        </w:rPr>
        <w:t xml:space="preserve">el estrado convocado </w:t>
      </w:r>
      <w:r w:rsidR="00BF5E83">
        <w:rPr>
          <w:rFonts w:ascii="Bookman Old Style" w:eastAsia="Calibri" w:hAnsi="Bookman Old Style" w:cs="Arial"/>
          <w:sz w:val="28"/>
          <w:szCs w:val="28"/>
          <w:lang w:val="es-ES"/>
        </w:rPr>
        <w:t xml:space="preserve">ratificó la determinación </w:t>
      </w:r>
      <w:r w:rsidR="00F03BAD">
        <w:rPr>
          <w:rFonts w:ascii="Bookman Old Style" w:eastAsia="Calibri" w:hAnsi="Bookman Old Style" w:cs="Arial"/>
          <w:sz w:val="28"/>
          <w:szCs w:val="28"/>
          <w:lang w:val="es-ES"/>
        </w:rPr>
        <w:t xml:space="preserve">(18 </w:t>
      </w:r>
      <w:proofErr w:type="spellStart"/>
      <w:r w:rsidR="00F03BAD">
        <w:rPr>
          <w:rFonts w:ascii="Bookman Old Style" w:eastAsia="Calibri" w:hAnsi="Bookman Old Style" w:cs="Arial"/>
          <w:sz w:val="28"/>
          <w:szCs w:val="28"/>
          <w:lang w:val="es-ES"/>
        </w:rPr>
        <w:t>ma</w:t>
      </w:r>
      <w:r w:rsidR="00493C5B">
        <w:rPr>
          <w:rFonts w:ascii="Bookman Old Style" w:eastAsia="Calibri" w:hAnsi="Bookman Old Style" w:cs="Arial"/>
          <w:sz w:val="28"/>
          <w:szCs w:val="28"/>
          <w:lang w:val="es-ES"/>
        </w:rPr>
        <w:t>y</w:t>
      </w:r>
      <w:proofErr w:type="spellEnd"/>
      <w:r w:rsidR="00493C5B">
        <w:rPr>
          <w:rFonts w:ascii="Bookman Old Style" w:eastAsia="Calibri" w:hAnsi="Bookman Old Style" w:cs="Arial"/>
          <w:sz w:val="28"/>
          <w:szCs w:val="28"/>
          <w:lang w:val="es-ES"/>
        </w:rPr>
        <w:t>.</w:t>
      </w:r>
      <w:r w:rsidR="006C6CBF">
        <w:rPr>
          <w:rFonts w:ascii="Bookman Old Style" w:eastAsia="Calibri" w:hAnsi="Bookman Old Style" w:cs="Arial"/>
          <w:sz w:val="28"/>
          <w:szCs w:val="28"/>
          <w:lang w:val="es-ES"/>
        </w:rPr>
        <w:t xml:space="preserve">). Decisión que </w:t>
      </w:r>
      <w:r w:rsidR="008E1F5E">
        <w:rPr>
          <w:rFonts w:ascii="Bookman Old Style" w:eastAsia="Calibri" w:hAnsi="Bookman Old Style" w:cs="Arial"/>
          <w:sz w:val="28"/>
          <w:szCs w:val="28"/>
          <w:lang w:val="es-ES"/>
        </w:rPr>
        <w:t xml:space="preserve">en su criterio </w:t>
      </w:r>
      <w:r w:rsidR="006C6CBF">
        <w:rPr>
          <w:rFonts w:ascii="Bookman Old Style" w:eastAsia="Calibri" w:hAnsi="Bookman Old Style" w:cs="Arial"/>
          <w:sz w:val="28"/>
          <w:szCs w:val="28"/>
          <w:lang w:val="es-ES"/>
        </w:rPr>
        <w:t>vulnera sus prerrogativas fundamentales</w:t>
      </w:r>
      <w:r w:rsidR="00674FE8">
        <w:rPr>
          <w:rFonts w:ascii="Bookman Old Style" w:eastAsia="Calibri" w:hAnsi="Bookman Old Style" w:cs="Arial"/>
          <w:sz w:val="28"/>
          <w:szCs w:val="28"/>
          <w:lang w:val="es-ES"/>
        </w:rPr>
        <w:t>,</w:t>
      </w:r>
      <w:r w:rsidR="006C6CBF">
        <w:rPr>
          <w:rFonts w:ascii="Bookman Old Style" w:eastAsia="Calibri" w:hAnsi="Bookman Old Style" w:cs="Arial"/>
          <w:sz w:val="28"/>
          <w:szCs w:val="28"/>
          <w:lang w:val="es-ES"/>
        </w:rPr>
        <w:t xml:space="preserve"> ya que «</w:t>
      </w:r>
      <w:r w:rsidR="006C6CBF" w:rsidRPr="006C6CBF">
        <w:rPr>
          <w:rFonts w:ascii="Bookman Old Style" w:eastAsia="Calibri" w:hAnsi="Bookman Old Style" w:cs="Arial"/>
          <w:i/>
          <w:iCs/>
          <w:sz w:val="28"/>
          <w:szCs w:val="28"/>
          <w:lang w:val="es-ES"/>
        </w:rPr>
        <w:t>es la [ú]</w:t>
      </w:r>
      <w:proofErr w:type="spellStart"/>
      <w:r w:rsidR="006C6CBF" w:rsidRPr="006C6CBF">
        <w:rPr>
          <w:rFonts w:ascii="Bookman Old Style" w:eastAsia="Calibri" w:hAnsi="Bookman Old Style" w:cs="Arial"/>
          <w:i/>
          <w:iCs/>
          <w:sz w:val="28"/>
          <w:szCs w:val="28"/>
          <w:lang w:val="es-ES"/>
        </w:rPr>
        <w:t>ltima</w:t>
      </w:r>
      <w:proofErr w:type="spellEnd"/>
      <w:r w:rsidR="006C6CBF" w:rsidRPr="006C6CBF">
        <w:rPr>
          <w:rFonts w:ascii="Bookman Old Style" w:eastAsia="Calibri" w:hAnsi="Bookman Old Style" w:cs="Arial"/>
          <w:i/>
          <w:iCs/>
          <w:sz w:val="28"/>
          <w:szCs w:val="28"/>
          <w:lang w:val="es-ES"/>
        </w:rPr>
        <w:t xml:space="preserve"> opción (…) para recuperar y conservar [su] negocio»</w:t>
      </w:r>
      <w:r w:rsidR="006C6CBF">
        <w:rPr>
          <w:rFonts w:ascii="Bookman Old Style" w:eastAsia="Calibri" w:hAnsi="Bookman Old Style" w:cs="Arial"/>
          <w:i/>
          <w:iCs/>
          <w:sz w:val="28"/>
          <w:szCs w:val="28"/>
          <w:lang w:val="es-ES"/>
        </w:rPr>
        <w:t>.</w:t>
      </w:r>
    </w:p>
    <w:p w14:paraId="2C17BA9B" w14:textId="77777777" w:rsidR="006C6CBF" w:rsidRPr="00F03BAD" w:rsidRDefault="006C6CBF" w:rsidP="00F03BAD">
      <w:pPr>
        <w:shd w:val="clear" w:color="auto" w:fill="FFFFFF" w:themeFill="background1"/>
        <w:spacing w:line="360" w:lineRule="auto"/>
        <w:ind w:firstLine="709"/>
        <w:jc w:val="both"/>
        <w:rPr>
          <w:rFonts w:ascii="Bookman Old Style" w:eastAsia="Calibri" w:hAnsi="Bookman Old Style" w:cs="Arial"/>
          <w:sz w:val="28"/>
          <w:szCs w:val="28"/>
          <w:lang w:val="es-ES"/>
        </w:rPr>
      </w:pPr>
    </w:p>
    <w:p w14:paraId="0BC5031A" w14:textId="2761C1F0" w:rsidR="00667135" w:rsidRDefault="00713BA8" w:rsidP="004E0573">
      <w:pPr>
        <w:shd w:val="clear" w:color="auto" w:fill="FFFFFF" w:themeFill="background1"/>
        <w:spacing w:line="360" w:lineRule="auto"/>
        <w:ind w:firstLine="709"/>
        <w:jc w:val="both"/>
        <w:rPr>
          <w:rFonts w:ascii="Bookman Old Style" w:eastAsia="Calibri" w:hAnsi="Bookman Old Style" w:cs="Arial"/>
          <w:sz w:val="28"/>
          <w:szCs w:val="28"/>
          <w:lang w:val="es-ES"/>
        </w:rPr>
      </w:pPr>
      <w:r w:rsidRPr="004A3847">
        <w:rPr>
          <w:rFonts w:ascii="Bookman Old Style" w:eastAsia="Calibri" w:hAnsi="Bookman Old Style" w:cs="Arial"/>
          <w:sz w:val="28"/>
          <w:szCs w:val="28"/>
          <w:lang w:val="es-ES"/>
        </w:rPr>
        <w:t xml:space="preserve">2. </w:t>
      </w:r>
      <w:r w:rsidR="00667135">
        <w:rPr>
          <w:rFonts w:ascii="Bookman Old Style" w:eastAsia="Calibri" w:hAnsi="Bookman Old Style" w:cs="Arial"/>
          <w:sz w:val="28"/>
          <w:szCs w:val="28"/>
          <w:lang w:val="es-ES"/>
        </w:rPr>
        <w:t>El Juzgado</w:t>
      </w:r>
      <w:r w:rsidR="00667135" w:rsidRPr="00667135">
        <w:t xml:space="preserve"> </w:t>
      </w:r>
      <w:r w:rsidR="00667135" w:rsidRPr="00667135">
        <w:rPr>
          <w:rFonts w:ascii="Bookman Old Style" w:eastAsia="Calibri" w:hAnsi="Bookman Old Style" w:cs="Arial"/>
          <w:sz w:val="28"/>
          <w:szCs w:val="28"/>
          <w:lang w:val="es-ES"/>
        </w:rPr>
        <w:t>Octavo Civil del Circuito de esta ciudad</w:t>
      </w:r>
      <w:r w:rsidR="00667135">
        <w:rPr>
          <w:rFonts w:ascii="Bookman Old Style" w:eastAsia="Calibri" w:hAnsi="Bookman Old Style" w:cs="Arial"/>
          <w:sz w:val="28"/>
          <w:szCs w:val="28"/>
          <w:lang w:val="es-ES"/>
        </w:rPr>
        <w:t xml:space="preserve">, tras remitir el </w:t>
      </w:r>
      <w:r w:rsidR="00667135" w:rsidRPr="00667135">
        <w:rPr>
          <w:rFonts w:ascii="Bookman Old Style" w:eastAsia="Calibri" w:hAnsi="Bookman Old Style" w:cs="Arial"/>
          <w:i/>
          <w:iCs/>
          <w:sz w:val="28"/>
          <w:szCs w:val="28"/>
          <w:lang w:val="es-ES"/>
        </w:rPr>
        <w:t>link</w:t>
      </w:r>
      <w:r w:rsidR="00667135">
        <w:rPr>
          <w:rFonts w:ascii="Bookman Old Style" w:eastAsia="Calibri" w:hAnsi="Bookman Old Style" w:cs="Arial"/>
          <w:sz w:val="28"/>
          <w:szCs w:val="28"/>
          <w:lang w:val="es-ES"/>
        </w:rPr>
        <w:t xml:space="preserve"> del expediente materia de escrutinio, defendió la legalidad de la actuación surtida y </w:t>
      </w:r>
      <w:r w:rsidR="00674FE8">
        <w:rPr>
          <w:rFonts w:ascii="Bookman Old Style" w:eastAsia="Calibri" w:hAnsi="Bookman Old Style" w:cs="Arial"/>
          <w:sz w:val="28"/>
          <w:szCs w:val="28"/>
          <w:lang w:val="es-ES"/>
        </w:rPr>
        <w:t xml:space="preserve">pidió </w:t>
      </w:r>
      <w:r w:rsidR="00667135">
        <w:rPr>
          <w:rFonts w:ascii="Bookman Old Style" w:eastAsia="Calibri" w:hAnsi="Bookman Old Style" w:cs="Arial"/>
          <w:sz w:val="28"/>
          <w:szCs w:val="28"/>
          <w:lang w:val="es-ES"/>
        </w:rPr>
        <w:t xml:space="preserve">negar el amparo por infringir el </w:t>
      </w:r>
      <w:r w:rsidR="001449ED">
        <w:rPr>
          <w:rFonts w:ascii="Bookman Old Style" w:eastAsia="Calibri" w:hAnsi="Bookman Old Style" w:cs="Arial"/>
          <w:sz w:val="28"/>
          <w:szCs w:val="28"/>
          <w:lang w:val="es-ES"/>
        </w:rPr>
        <w:t>requisito</w:t>
      </w:r>
      <w:r w:rsidR="00667135">
        <w:rPr>
          <w:rFonts w:ascii="Bookman Old Style" w:eastAsia="Calibri" w:hAnsi="Bookman Old Style" w:cs="Arial"/>
          <w:sz w:val="28"/>
          <w:szCs w:val="28"/>
          <w:lang w:val="es-ES"/>
        </w:rPr>
        <w:t xml:space="preserve"> de </w:t>
      </w:r>
      <w:proofErr w:type="spellStart"/>
      <w:r w:rsidR="00667135">
        <w:rPr>
          <w:rFonts w:ascii="Bookman Old Style" w:eastAsia="Calibri" w:hAnsi="Bookman Old Style" w:cs="Arial"/>
          <w:sz w:val="28"/>
          <w:szCs w:val="28"/>
          <w:lang w:val="es-ES"/>
        </w:rPr>
        <w:t>residualidad</w:t>
      </w:r>
      <w:proofErr w:type="spellEnd"/>
      <w:r w:rsidR="00667135">
        <w:rPr>
          <w:rFonts w:ascii="Bookman Old Style" w:eastAsia="Calibri" w:hAnsi="Bookman Old Style" w:cs="Arial"/>
          <w:sz w:val="28"/>
          <w:szCs w:val="28"/>
          <w:lang w:val="es-ES"/>
        </w:rPr>
        <w:t>.</w:t>
      </w:r>
    </w:p>
    <w:p w14:paraId="567F6D74" w14:textId="77777777" w:rsidR="00667135" w:rsidRDefault="00667135" w:rsidP="004E0573">
      <w:pPr>
        <w:shd w:val="clear" w:color="auto" w:fill="FFFFFF" w:themeFill="background1"/>
        <w:spacing w:line="360" w:lineRule="auto"/>
        <w:ind w:firstLine="709"/>
        <w:jc w:val="both"/>
        <w:rPr>
          <w:rFonts w:ascii="Bookman Old Style" w:eastAsia="Calibri" w:hAnsi="Bookman Old Style" w:cs="Arial"/>
          <w:sz w:val="28"/>
          <w:szCs w:val="28"/>
          <w:lang w:val="es-ES"/>
        </w:rPr>
      </w:pPr>
    </w:p>
    <w:p w14:paraId="1E0D6C85" w14:textId="6E301D13" w:rsidR="001449ED" w:rsidRDefault="007D3490" w:rsidP="001449ED">
      <w:pPr>
        <w:shd w:val="clear" w:color="auto" w:fill="FFFFFF" w:themeFill="background1"/>
        <w:spacing w:line="360" w:lineRule="auto"/>
        <w:ind w:firstLine="709"/>
        <w:jc w:val="both"/>
        <w:rPr>
          <w:rFonts w:ascii="Bookman Old Style" w:eastAsia="Calibri" w:hAnsi="Bookman Old Style" w:cs="Arial"/>
          <w:sz w:val="28"/>
          <w:szCs w:val="28"/>
          <w:lang w:val="es-ES"/>
        </w:rPr>
      </w:pPr>
      <w:r w:rsidRPr="004A3847">
        <w:rPr>
          <w:rFonts w:ascii="Bookman Old Style" w:eastAsia="Calibri" w:hAnsi="Bookman Old Style" w:cs="Arial"/>
          <w:sz w:val="28"/>
          <w:szCs w:val="28"/>
          <w:lang w:val="es-ES"/>
        </w:rPr>
        <w:t>3</w:t>
      </w:r>
      <w:r w:rsidR="00145DFA" w:rsidRPr="004A3847">
        <w:rPr>
          <w:rFonts w:ascii="Bookman Old Style" w:eastAsia="Calibri" w:hAnsi="Bookman Old Style" w:cs="Arial"/>
          <w:sz w:val="28"/>
          <w:szCs w:val="28"/>
          <w:lang w:val="es-ES"/>
        </w:rPr>
        <w:t xml:space="preserve">. </w:t>
      </w:r>
      <w:r w:rsidR="00FA262B" w:rsidRPr="004A3847">
        <w:rPr>
          <w:rFonts w:ascii="Bookman Old Style" w:eastAsia="Calibri" w:hAnsi="Bookman Old Style" w:cs="Arial"/>
          <w:sz w:val="28"/>
          <w:szCs w:val="28"/>
          <w:lang w:val="es-ES"/>
        </w:rPr>
        <w:t>La</w:t>
      </w:r>
      <w:r w:rsidR="009D689B" w:rsidRPr="004A3847">
        <w:rPr>
          <w:rFonts w:ascii="Bookman Old Style" w:eastAsia="Calibri" w:hAnsi="Bookman Old Style" w:cs="Arial"/>
          <w:sz w:val="28"/>
          <w:szCs w:val="28"/>
          <w:lang w:val="es-ES"/>
        </w:rPr>
        <w:t xml:space="preserve"> Sala Civil </w:t>
      </w:r>
      <w:r w:rsidR="001449ED">
        <w:rPr>
          <w:rFonts w:ascii="Bookman Old Style" w:eastAsia="Calibri" w:hAnsi="Bookman Old Style" w:cs="Arial"/>
          <w:sz w:val="28"/>
          <w:szCs w:val="28"/>
          <w:lang w:val="es-ES"/>
        </w:rPr>
        <w:t xml:space="preserve">del Tribunal de Bogotá </w:t>
      </w:r>
      <w:r w:rsidR="003364CB" w:rsidRPr="004A3847">
        <w:rPr>
          <w:rFonts w:ascii="Bookman Old Style" w:eastAsia="Calibri" w:hAnsi="Bookman Old Style" w:cs="Arial"/>
          <w:sz w:val="28"/>
          <w:szCs w:val="28"/>
          <w:lang w:val="es-ES"/>
        </w:rPr>
        <w:t xml:space="preserve">desestimó el ruego </w:t>
      </w:r>
      <w:r w:rsidR="009D689B" w:rsidRPr="004A3847">
        <w:rPr>
          <w:rFonts w:ascii="Bookman Old Style" w:eastAsia="Calibri" w:hAnsi="Bookman Old Style" w:cs="Arial"/>
          <w:sz w:val="28"/>
          <w:szCs w:val="28"/>
          <w:lang w:val="es-ES"/>
        </w:rPr>
        <w:t>por carecer de</w:t>
      </w:r>
      <w:r w:rsidR="001449ED">
        <w:rPr>
          <w:rFonts w:ascii="Bookman Old Style" w:eastAsia="Calibri" w:hAnsi="Bookman Old Style" w:cs="Arial"/>
          <w:sz w:val="28"/>
          <w:szCs w:val="28"/>
          <w:lang w:val="es-ES"/>
        </w:rPr>
        <w:t>l presupuesto de subsidiariedad y razonabilidad. Lo primero por cuanto «</w:t>
      </w:r>
      <w:r w:rsidR="001449ED" w:rsidRPr="001449ED">
        <w:rPr>
          <w:rFonts w:ascii="Bookman Old Style" w:eastAsia="Calibri" w:hAnsi="Bookman Old Style" w:cs="Arial"/>
          <w:i/>
          <w:iCs/>
          <w:sz w:val="28"/>
          <w:szCs w:val="28"/>
          <w:lang w:val="es-ES"/>
        </w:rPr>
        <w:t>(…) el accionante no interpuso recurso de apelación contra el auto que censura, pese a que lo habilita el numeral 1º del inciso 2º del artículo 321 del</w:t>
      </w:r>
      <w:r w:rsidR="001449ED">
        <w:rPr>
          <w:rFonts w:ascii="Bookman Old Style" w:eastAsia="Calibri" w:hAnsi="Bookman Old Style" w:cs="Arial"/>
          <w:i/>
          <w:iCs/>
          <w:sz w:val="28"/>
          <w:szCs w:val="28"/>
          <w:lang w:val="es-ES"/>
        </w:rPr>
        <w:t xml:space="preserve"> </w:t>
      </w:r>
      <w:r w:rsidR="001449ED" w:rsidRPr="001449ED">
        <w:rPr>
          <w:rFonts w:ascii="Bookman Old Style" w:eastAsia="Calibri" w:hAnsi="Bookman Old Style" w:cs="Arial"/>
          <w:i/>
          <w:iCs/>
          <w:sz w:val="28"/>
          <w:szCs w:val="28"/>
          <w:lang w:val="es-ES"/>
        </w:rPr>
        <w:t>CGP</w:t>
      </w:r>
      <w:r w:rsidR="001449ED">
        <w:rPr>
          <w:rFonts w:ascii="Bookman Old Style" w:eastAsia="Calibri" w:hAnsi="Bookman Old Style" w:cs="Arial"/>
          <w:i/>
          <w:iCs/>
          <w:sz w:val="28"/>
          <w:szCs w:val="28"/>
          <w:lang w:val="es-ES"/>
        </w:rPr>
        <w:t>»</w:t>
      </w:r>
      <w:r w:rsidR="001449ED">
        <w:rPr>
          <w:rFonts w:ascii="Bookman Old Style" w:eastAsia="Calibri" w:hAnsi="Bookman Old Style" w:cs="Arial"/>
          <w:sz w:val="28"/>
          <w:szCs w:val="28"/>
          <w:lang w:val="es-ES"/>
        </w:rPr>
        <w:t xml:space="preserve"> y, respecto de</w:t>
      </w:r>
      <w:r w:rsidR="006C3846">
        <w:rPr>
          <w:rFonts w:ascii="Bookman Old Style" w:eastAsia="Calibri" w:hAnsi="Bookman Old Style" w:cs="Arial"/>
          <w:sz w:val="28"/>
          <w:szCs w:val="28"/>
          <w:lang w:val="es-ES"/>
        </w:rPr>
        <w:t xml:space="preserve">l segundo aspecto </w:t>
      </w:r>
      <w:r w:rsidR="001449ED">
        <w:rPr>
          <w:rFonts w:ascii="Bookman Old Style" w:eastAsia="Calibri" w:hAnsi="Bookman Old Style" w:cs="Arial"/>
          <w:sz w:val="28"/>
          <w:szCs w:val="28"/>
          <w:lang w:val="es-ES"/>
        </w:rPr>
        <w:t xml:space="preserve">encontró plausible la decisión cuestionada, amén de indicar que </w:t>
      </w:r>
    </w:p>
    <w:p w14:paraId="0847E442" w14:textId="77777777" w:rsidR="001449ED" w:rsidRDefault="001449ED" w:rsidP="001449ED">
      <w:pPr>
        <w:shd w:val="clear" w:color="auto" w:fill="FFFFFF" w:themeFill="background1"/>
        <w:spacing w:line="360" w:lineRule="auto"/>
        <w:ind w:firstLine="709"/>
        <w:jc w:val="both"/>
        <w:rPr>
          <w:rFonts w:ascii="Bookman Old Style" w:eastAsia="Calibri" w:hAnsi="Bookman Old Style" w:cs="Arial"/>
          <w:sz w:val="28"/>
          <w:szCs w:val="28"/>
          <w:lang w:val="es-ES"/>
        </w:rPr>
      </w:pPr>
    </w:p>
    <w:p w14:paraId="1F465D4E" w14:textId="2F830432" w:rsidR="001449ED" w:rsidRPr="001449ED" w:rsidRDefault="001449ED" w:rsidP="001449ED">
      <w:pPr>
        <w:shd w:val="clear" w:color="auto" w:fill="FFFFFF" w:themeFill="background1"/>
        <w:ind w:left="708"/>
        <w:jc w:val="both"/>
        <w:rPr>
          <w:rFonts w:ascii="Bookman Old Style" w:eastAsia="Calibri" w:hAnsi="Bookman Old Style" w:cs="Arial"/>
          <w:i/>
          <w:iCs/>
          <w:sz w:val="24"/>
          <w:szCs w:val="24"/>
          <w:lang w:val="es-ES"/>
        </w:rPr>
      </w:pPr>
      <w:r>
        <w:rPr>
          <w:rFonts w:ascii="Bookman Old Style" w:eastAsia="Calibri" w:hAnsi="Bookman Old Style" w:cs="Arial"/>
          <w:i/>
          <w:iCs/>
          <w:sz w:val="28"/>
          <w:szCs w:val="28"/>
          <w:lang w:val="es-ES"/>
        </w:rPr>
        <w:t xml:space="preserve"> </w:t>
      </w:r>
      <w:r w:rsidRPr="001449ED">
        <w:rPr>
          <w:rFonts w:ascii="Bookman Old Style" w:eastAsia="Calibri" w:hAnsi="Bookman Old Style" w:cs="Arial"/>
          <w:i/>
          <w:iCs/>
          <w:sz w:val="24"/>
          <w:szCs w:val="24"/>
          <w:lang w:val="es-ES"/>
        </w:rPr>
        <w:t xml:space="preserve">(…) no puede en sede de tutela, dirimir una controversia sobre cuál es la interpretación adecuada de las normas que gobiernan el proceso de </w:t>
      </w:r>
      <w:r w:rsidRPr="001449ED">
        <w:rPr>
          <w:rFonts w:ascii="Bookman Old Style" w:eastAsia="Calibri" w:hAnsi="Bookman Old Style" w:cs="Arial"/>
          <w:i/>
          <w:iCs/>
          <w:sz w:val="24"/>
          <w:szCs w:val="24"/>
          <w:lang w:val="es-ES"/>
        </w:rPr>
        <w:lastRenderedPageBreak/>
        <w:t>insolvencia de persona natural comerciante, máxime si con ese designio – relativo a derechos legales- no fue instrumentado el derecho de amparo, vinculado esencialmente a la protección de derechos fundamentales»</w:t>
      </w:r>
    </w:p>
    <w:p w14:paraId="1D335304" w14:textId="55048CA7" w:rsidR="001449ED" w:rsidRDefault="001449ED" w:rsidP="001449ED">
      <w:pPr>
        <w:shd w:val="clear" w:color="auto" w:fill="FFFFFF" w:themeFill="background1"/>
        <w:spacing w:line="360" w:lineRule="auto"/>
        <w:ind w:firstLine="709"/>
        <w:jc w:val="both"/>
        <w:rPr>
          <w:rFonts w:ascii="Bookman Old Style" w:eastAsia="Calibri" w:hAnsi="Bookman Old Style" w:cs="Arial"/>
          <w:sz w:val="28"/>
          <w:szCs w:val="28"/>
          <w:lang w:val="es-ES"/>
        </w:rPr>
      </w:pPr>
    </w:p>
    <w:p w14:paraId="459E287A" w14:textId="3370744A" w:rsidR="008C6BBF" w:rsidRDefault="004B4210" w:rsidP="004D1F41">
      <w:pPr>
        <w:shd w:val="clear" w:color="auto" w:fill="FFFFFF" w:themeFill="background1"/>
        <w:spacing w:line="360" w:lineRule="auto"/>
        <w:ind w:firstLine="680"/>
        <w:jc w:val="both"/>
        <w:rPr>
          <w:rFonts w:ascii="Bookman Old Style" w:hAnsi="Bookman Old Style"/>
          <w:sz w:val="28"/>
          <w:szCs w:val="28"/>
          <w:lang w:val="es-ES_tradnl" w:eastAsia="x-none"/>
        </w:rPr>
      </w:pPr>
      <w:r w:rsidRPr="004A3847">
        <w:rPr>
          <w:rFonts w:ascii="Bookman Old Style" w:hAnsi="Bookman Old Style"/>
          <w:sz w:val="28"/>
          <w:szCs w:val="28"/>
          <w:lang w:val="es-ES_tradnl" w:eastAsia="x-none"/>
        </w:rPr>
        <w:t>4.</w:t>
      </w:r>
      <w:r w:rsidR="000A74AC" w:rsidRPr="004A3847">
        <w:rPr>
          <w:rFonts w:ascii="Bookman Old Style" w:hAnsi="Bookman Old Style"/>
          <w:sz w:val="28"/>
          <w:szCs w:val="28"/>
          <w:lang w:val="es-ES_tradnl" w:eastAsia="x-none"/>
        </w:rPr>
        <w:t xml:space="preserve"> </w:t>
      </w:r>
      <w:r w:rsidR="00B86593" w:rsidRPr="004A3847">
        <w:rPr>
          <w:rFonts w:ascii="Bookman Old Style" w:hAnsi="Bookman Old Style"/>
          <w:sz w:val="28"/>
          <w:szCs w:val="28"/>
          <w:lang w:val="es-ES_tradnl" w:eastAsia="x-none"/>
        </w:rPr>
        <w:t>El quejoso</w:t>
      </w:r>
      <w:r w:rsidR="005C4A1E" w:rsidRPr="004A3847">
        <w:rPr>
          <w:rFonts w:ascii="Bookman Old Style" w:hAnsi="Bookman Old Style"/>
          <w:sz w:val="28"/>
          <w:szCs w:val="28"/>
          <w:lang w:val="es-ES_tradnl" w:eastAsia="x-none"/>
        </w:rPr>
        <w:t xml:space="preserve"> impugnó </w:t>
      </w:r>
      <w:r w:rsidR="0032794A" w:rsidRPr="004A3847">
        <w:rPr>
          <w:rFonts w:ascii="Bookman Old Style" w:hAnsi="Bookman Old Style"/>
          <w:sz w:val="28"/>
          <w:szCs w:val="28"/>
          <w:lang w:val="es-ES_tradnl" w:eastAsia="x-none"/>
        </w:rPr>
        <w:t>con base en</w:t>
      </w:r>
      <w:r w:rsidR="005C4A1E" w:rsidRPr="004A3847">
        <w:rPr>
          <w:rFonts w:ascii="Bookman Old Style" w:hAnsi="Bookman Old Style"/>
          <w:sz w:val="28"/>
          <w:szCs w:val="28"/>
          <w:lang w:val="es-ES_tradnl" w:eastAsia="x-none"/>
        </w:rPr>
        <w:t xml:space="preserve"> los argumentos expuestos en el escrito introductor</w:t>
      </w:r>
      <w:r w:rsidR="00C24689" w:rsidRPr="004A3847">
        <w:rPr>
          <w:rFonts w:ascii="Bookman Old Style" w:hAnsi="Bookman Old Style"/>
          <w:sz w:val="28"/>
          <w:szCs w:val="28"/>
          <w:lang w:val="es-ES_tradnl" w:eastAsia="x-none"/>
        </w:rPr>
        <w:t>io</w:t>
      </w:r>
      <w:r w:rsidR="000221A7" w:rsidRPr="004A3847">
        <w:rPr>
          <w:rFonts w:ascii="Bookman Old Style" w:hAnsi="Bookman Old Style"/>
          <w:sz w:val="28"/>
          <w:szCs w:val="28"/>
          <w:lang w:val="es-ES_tradnl" w:eastAsia="x-none"/>
        </w:rPr>
        <w:t xml:space="preserve">, </w:t>
      </w:r>
      <w:r w:rsidR="004B502F" w:rsidRPr="004A3847">
        <w:rPr>
          <w:rFonts w:ascii="Bookman Old Style" w:hAnsi="Bookman Old Style"/>
          <w:sz w:val="28"/>
          <w:szCs w:val="28"/>
          <w:lang w:val="es-ES_tradnl" w:eastAsia="x-none"/>
        </w:rPr>
        <w:t xml:space="preserve">además de </w:t>
      </w:r>
      <w:r w:rsidR="004D1F41">
        <w:rPr>
          <w:rFonts w:ascii="Bookman Old Style" w:hAnsi="Bookman Old Style"/>
          <w:sz w:val="28"/>
          <w:szCs w:val="28"/>
          <w:lang w:val="es-ES_tradnl" w:eastAsia="x-none"/>
        </w:rPr>
        <w:t xml:space="preserve">indicar que el procedimiento regulado por la </w:t>
      </w:r>
      <w:r w:rsidR="004D1F41" w:rsidRPr="004D1F41">
        <w:rPr>
          <w:rFonts w:ascii="Bookman Old Style" w:hAnsi="Bookman Old Style"/>
          <w:sz w:val="28"/>
          <w:szCs w:val="28"/>
          <w:lang w:val="es-ES_tradnl" w:eastAsia="x-none"/>
        </w:rPr>
        <w:t>Ley 1116 de 2006</w:t>
      </w:r>
      <w:r w:rsidR="004D1F41">
        <w:rPr>
          <w:rFonts w:ascii="Bookman Old Style" w:hAnsi="Bookman Old Style"/>
          <w:sz w:val="28"/>
          <w:szCs w:val="28"/>
          <w:lang w:val="es-ES_tradnl" w:eastAsia="x-none"/>
        </w:rPr>
        <w:t xml:space="preserve"> es un trámite especial </w:t>
      </w:r>
      <w:r w:rsidR="008C6BBF">
        <w:rPr>
          <w:rFonts w:ascii="Bookman Old Style" w:hAnsi="Bookman Old Style"/>
          <w:sz w:val="28"/>
          <w:szCs w:val="28"/>
          <w:lang w:val="es-ES_tradnl" w:eastAsia="x-none"/>
        </w:rPr>
        <w:t>y,</w:t>
      </w:r>
      <w:r w:rsidR="004D1F41">
        <w:rPr>
          <w:rFonts w:ascii="Bookman Old Style" w:hAnsi="Bookman Old Style"/>
          <w:sz w:val="28"/>
          <w:szCs w:val="28"/>
          <w:lang w:val="es-ES_tradnl" w:eastAsia="x-none"/>
        </w:rPr>
        <w:t xml:space="preserve"> por tanto, </w:t>
      </w:r>
      <w:r w:rsidR="00847F60">
        <w:rPr>
          <w:rFonts w:ascii="Bookman Old Style" w:hAnsi="Bookman Old Style"/>
          <w:sz w:val="28"/>
          <w:szCs w:val="28"/>
          <w:lang w:val="es-ES_tradnl" w:eastAsia="x-none"/>
        </w:rPr>
        <w:t>únicamente</w:t>
      </w:r>
      <w:r w:rsidR="008C6BBF">
        <w:rPr>
          <w:rFonts w:ascii="Bookman Old Style" w:hAnsi="Bookman Old Style"/>
          <w:sz w:val="28"/>
          <w:szCs w:val="28"/>
          <w:lang w:val="es-ES_tradnl" w:eastAsia="x-none"/>
        </w:rPr>
        <w:t xml:space="preserve"> </w:t>
      </w:r>
      <w:r w:rsidR="00847F60">
        <w:rPr>
          <w:rFonts w:ascii="Bookman Old Style" w:hAnsi="Bookman Old Style"/>
          <w:sz w:val="28"/>
          <w:szCs w:val="28"/>
          <w:lang w:val="es-ES_tradnl" w:eastAsia="x-none"/>
        </w:rPr>
        <w:t>los</w:t>
      </w:r>
      <w:r w:rsidR="008C6BBF">
        <w:rPr>
          <w:rFonts w:ascii="Bookman Old Style" w:hAnsi="Bookman Old Style"/>
          <w:sz w:val="28"/>
          <w:szCs w:val="28"/>
          <w:lang w:val="es-ES_tradnl" w:eastAsia="x-none"/>
        </w:rPr>
        <w:t xml:space="preserve"> eventos no regulados en aquella norma se puede aplicar </w:t>
      </w:r>
      <w:r w:rsidR="004D1F41">
        <w:rPr>
          <w:rFonts w:ascii="Bookman Old Style" w:hAnsi="Bookman Old Style"/>
          <w:sz w:val="28"/>
          <w:szCs w:val="28"/>
          <w:lang w:val="es-ES_tradnl" w:eastAsia="x-none"/>
        </w:rPr>
        <w:t>el Código Genera del Proceso</w:t>
      </w:r>
      <w:r w:rsidR="008C6BBF">
        <w:rPr>
          <w:rFonts w:ascii="Bookman Old Style" w:hAnsi="Bookman Old Style"/>
          <w:sz w:val="28"/>
          <w:szCs w:val="28"/>
          <w:lang w:val="es-ES_tradnl" w:eastAsia="x-none"/>
        </w:rPr>
        <w:t xml:space="preserve">, de ahí que, el auto que rechazó la solicitud de inicio del proceso </w:t>
      </w:r>
      <w:r w:rsidR="008C6BBF" w:rsidRPr="004A3847">
        <w:rPr>
          <w:rFonts w:ascii="Bookman Old Style" w:hAnsi="Bookman Old Style"/>
          <w:sz w:val="28"/>
          <w:szCs w:val="28"/>
          <w:lang w:val="es-ES_tradnl" w:eastAsia="x-none"/>
        </w:rPr>
        <w:t xml:space="preserve">no es susceptible de </w:t>
      </w:r>
      <w:r w:rsidR="008C6BBF">
        <w:rPr>
          <w:rFonts w:ascii="Bookman Old Style" w:hAnsi="Bookman Old Style"/>
          <w:sz w:val="28"/>
          <w:szCs w:val="28"/>
          <w:lang w:val="es-ES_tradnl" w:eastAsia="x-none"/>
        </w:rPr>
        <w:t>apelación, puesto que no encuadra en las 8 hipótesis que trae el artículo 6</w:t>
      </w:r>
      <w:r w:rsidR="00847F60">
        <w:rPr>
          <w:rFonts w:ascii="Bookman Old Style" w:hAnsi="Bookman Old Style"/>
          <w:sz w:val="28"/>
          <w:szCs w:val="28"/>
          <w:lang w:val="es-ES_tradnl" w:eastAsia="x-none"/>
        </w:rPr>
        <w:t xml:space="preserve">° </w:t>
      </w:r>
      <w:r w:rsidR="008C6BBF">
        <w:rPr>
          <w:rFonts w:ascii="Bookman Old Style" w:hAnsi="Bookman Old Style"/>
          <w:sz w:val="28"/>
          <w:szCs w:val="28"/>
          <w:lang w:val="es-ES_tradnl" w:eastAsia="x-none"/>
        </w:rPr>
        <w:t>de la Ley 116 de 200</w:t>
      </w:r>
      <w:r w:rsidR="00816F6F">
        <w:rPr>
          <w:rFonts w:ascii="Bookman Old Style" w:hAnsi="Bookman Old Style"/>
          <w:sz w:val="28"/>
          <w:szCs w:val="28"/>
          <w:lang w:val="es-ES_tradnl" w:eastAsia="x-none"/>
        </w:rPr>
        <w:t>6</w:t>
      </w:r>
      <w:r w:rsidR="00C51C66">
        <w:rPr>
          <w:rFonts w:ascii="Bookman Old Style" w:hAnsi="Bookman Old Style"/>
          <w:sz w:val="28"/>
          <w:szCs w:val="28"/>
          <w:lang w:val="es-ES_tradnl" w:eastAsia="x-none"/>
        </w:rPr>
        <w:t>.</w:t>
      </w:r>
      <w:r w:rsidR="008C6BBF">
        <w:rPr>
          <w:rFonts w:ascii="Bookman Old Style" w:hAnsi="Bookman Old Style"/>
          <w:sz w:val="28"/>
          <w:szCs w:val="28"/>
          <w:lang w:val="es-ES_tradnl" w:eastAsia="x-none"/>
        </w:rPr>
        <w:t xml:space="preserve"> </w:t>
      </w:r>
    </w:p>
    <w:p w14:paraId="20DAB036" w14:textId="00A6B900" w:rsidR="008C6BBF" w:rsidRDefault="008C6BBF" w:rsidP="004D1F41">
      <w:pPr>
        <w:shd w:val="clear" w:color="auto" w:fill="FFFFFF" w:themeFill="background1"/>
        <w:spacing w:line="360" w:lineRule="auto"/>
        <w:ind w:firstLine="680"/>
        <w:jc w:val="both"/>
        <w:rPr>
          <w:rFonts w:ascii="Bookman Old Style" w:hAnsi="Bookman Old Style"/>
          <w:sz w:val="28"/>
          <w:szCs w:val="28"/>
          <w:lang w:val="es-ES_tradnl" w:eastAsia="x-none"/>
        </w:rPr>
      </w:pPr>
    </w:p>
    <w:p w14:paraId="4C16F95D" w14:textId="56944A04" w:rsidR="00362252" w:rsidRPr="00362252" w:rsidRDefault="001E0265" w:rsidP="00EA6413">
      <w:pPr>
        <w:shd w:val="clear" w:color="auto" w:fill="FFFFFF" w:themeFill="background1"/>
        <w:spacing w:line="360" w:lineRule="auto"/>
        <w:ind w:firstLine="680"/>
        <w:jc w:val="both"/>
        <w:rPr>
          <w:rFonts w:ascii="Bookman Old Style" w:hAnsi="Bookman Old Style"/>
          <w:i/>
          <w:iCs/>
          <w:sz w:val="28"/>
          <w:szCs w:val="28"/>
          <w:lang w:val="es-ES_tradnl" w:eastAsia="x-none"/>
        </w:rPr>
      </w:pPr>
      <w:r w:rsidRPr="004A3847">
        <w:rPr>
          <w:rFonts w:ascii="Bookman Old Style" w:hAnsi="Bookman Old Style"/>
          <w:sz w:val="28"/>
          <w:szCs w:val="28"/>
          <w:lang w:val="es-ES_tradnl" w:eastAsia="x-none"/>
        </w:rPr>
        <w:t>A</w:t>
      </w:r>
      <w:r w:rsidR="00847F60">
        <w:rPr>
          <w:rFonts w:ascii="Bookman Old Style" w:hAnsi="Bookman Old Style"/>
          <w:sz w:val="28"/>
          <w:szCs w:val="28"/>
          <w:lang w:val="es-ES_tradnl" w:eastAsia="x-none"/>
        </w:rPr>
        <w:t xml:space="preserve"> su vez</w:t>
      </w:r>
      <w:r w:rsidRPr="004A3847">
        <w:rPr>
          <w:rFonts w:ascii="Bookman Old Style" w:hAnsi="Bookman Old Style"/>
          <w:sz w:val="28"/>
          <w:szCs w:val="28"/>
          <w:lang w:val="es-ES_tradnl" w:eastAsia="x-none"/>
        </w:rPr>
        <w:t xml:space="preserve">, </w:t>
      </w:r>
      <w:r w:rsidR="00362252">
        <w:rPr>
          <w:rFonts w:ascii="Bookman Old Style" w:hAnsi="Bookman Old Style"/>
          <w:sz w:val="28"/>
          <w:szCs w:val="28"/>
          <w:lang w:val="es-ES_tradnl" w:eastAsia="x-none"/>
        </w:rPr>
        <w:t xml:space="preserve">solicitó oficiar a la Junta Nacional de Contadores o </w:t>
      </w:r>
      <w:r w:rsidR="00847F60">
        <w:rPr>
          <w:rFonts w:ascii="Bookman Old Style" w:hAnsi="Bookman Old Style"/>
          <w:sz w:val="28"/>
          <w:szCs w:val="28"/>
          <w:lang w:val="es-ES_tradnl" w:eastAsia="x-none"/>
        </w:rPr>
        <w:t>«</w:t>
      </w:r>
      <w:r w:rsidR="00362252">
        <w:rPr>
          <w:rFonts w:ascii="Bookman Old Style" w:hAnsi="Bookman Old Style"/>
          <w:i/>
          <w:iCs/>
          <w:sz w:val="28"/>
          <w:szCs w:val="28"/>
          <w:lang w:val="es-ES_tradnl" w:eastAsia="x-none"/>
        </w:rPr>
        <w:t xml:space="preserve">universidades que tengan facultad de Contaduría», </w:t>
      </w:r>
      <w:r w:rsidR="00362252">
        <w:rPr>
          <w:rFonts w:ascii="Bookman Old Style" w:hAnsi="Bookman Old Style"/>
          <w:sz w:val="28"/>
          <w:szCs w:val="28"/>
          <w:lang w:val="es-ES_tradnl" w:eastAsia="x-none"/>
        </w:rPr>
        <w:t>para que «</w:t>
      </w:r>
      <w:r w:rsidR="00362252" w:rsidRPr="00362252">
        <w:rPr>
          <w:rFonts w:ascii="Bookman Old Style" w:hAnsi="Bookman Old Style"/>
          <w:i/>
          <w:iCs/>
          <w:sz w:val="28"/>
          <w:szCs w:val="28"/>
          <w:lang w:val="es-ES_tradnl" w:eastAsia="x-none"/>
        </w:rPr>
        <w:t>conceptualice</w:t>
      </w:r>
      <w:r w:rsidR="00847F60">
        <w:rPr>
          <w:rFonts w:ascii="Bookman Old Style" w:hAnsi="Bookman Old Style"/>
          <w:i/>
          <w:iCs/>
          <w:sz w:val="28"/>
          <w:szCs w:val="28"/>
          <w:lang w:val="es-ES_tradnl" w:eastAsia="x-none"/>
        </w:rPr>
        <w:t>[n]</w:t>
      </w:r>
      <w:r w:rsidR="00362252" w:rsidRPr="00362252">
        <w:rPr>
          <w:rFonts w:ascii="Bookman Old Style" w:hAnsi="Bookman Old Style"/>
          <w:i/>
          <w:iCs/>
          <w:sz w:val="28"/>
          <w:szCs w:val="28"/>
          <w:lang w:val="es-ES_tradnl" w:eastAsia="x-none"/>
        </w:rPr>
        <w:t xml:space="preserve"> (…) si un comerciante</w:t>
      </w:r>
      <w:r w:rsidR="00205AE3">
        <w:rPr>
          <w:rFonts w:ascii="Bookman Old Style" w:hAnsi="Bookman Old Style"/>
          <w:i/>
          <w:iCs/>
          <w:sz w:val="28"/>
          <w:szCs w:val="28"/>
          <w:lang w:val="es-ES_tradnl" w:eastAsia="x-none"/>
        </w:rPr>
        <w:t xml:space="preserve"> </w:t>
      </w:r>
      <w:r w:rsidR="00362252" w:rsidRPr="00362252">
        <w:rPr>
          <w:rFonts w:ascii="Bookman Old Style" w:hAnsi="Bookman Old Style"/>
          <w:i/>
          <w:iCs/>
          <w:sz w:val="28"/>
          <w:szCs w:val="28"/>
          <w:lang w:val="es-ES_tradnl" w:eastAsia="x-none"/>
        </w:rPr>
        <w:t>persona natural sigue obligado a llevar contabilidad bajo los preceptos del Decreto 2649 de 1993, es decir los 5 estados financieros básicos, o debe acogerse a las NIIF»</w:t>
      </w:r>
      <w:r w:rsidR="004E5BA6">
        <w:rPr>
          <w:rFonts w:ascii="Bookman Old Style" w:hAnsi="Bookman Old Style"/>
          <w:i/>
          <w:iCs/>
          <w:sz w:val="28"/>
          <w:szCs w:val="28"/>
          <w:lang w:val="es-ES_tradnl" w:eastAsia="x-none"/>
        </w:rPr>
        <w:t>.</w:t>
      </w:r>
    </w:p>
    <w:p w14:paraId="69A56582" w14:textId="77777777" w:rsidR="00362252" w:rsidRDefault="00362252" w:rsidP="00EA6413">
      <w:pPr>
        <w:shd w:val="clear" w:color="auto" w:fill="FFFFFF" w:themeFill="background1"/>
        <w:spacing w:line="360" w:lineRule="auto"/>
        <w:ind w:firstLine="680"/>
        <w:jc w:val="both"/>
        <w:rPr>
          <w:rFonts w:ascii="Bookman Old Style" w:hAnsi="Bookman Old Style"/>
          <w:sz w:val="28"/>
          <w:szCs w:val="28"/>
          <w:lang w:val="es-ES_tradnl" w:eastAsia="x-none"/>
        </w:rPr>
      </w:pPr>
    </w:p>
    <w:p w14:paraId="2A5CAD5D" w14:textId="73BD600F" w:rsidR="003257EE" w:rsidRPr="004A3847" w:rsidRDefault="003257EE" w:rsidP="003257EE">
      <w:pPr>
        <w:pStyle w:val="Textoindependiente"/>
        <w:tabs>
          <w:tab w:val="left" w:pos="709"/>
        </w:tabs>
        <w:spacing w:after="0" w:line="360" w:lineRule="auto"/>
        <w:jc w:val="center"/>
        <w:rPr>
          <w:rStyle w:val="FontStyle26"/>
          <w:lang w:val="es-ES_tradnl" w:eastAsia="es-ES_tradnl"/>
        </w:rPr>
      </w:pPr>
      <w:r w:rsidRPr="004A3847">
        <w:rPr>
          <w:rStyle w:val="FontStyle26"/>
          <w:lang w:val="es-ES_tradnl" w:eastAsia="es-ES_tradnl"/>
        </w:rPr>
        <w:t>CONSIDERACIONES</w:t>
      </w:r>
    </w:p>
    <w:p w14:paraId="431B20C7" w14:textId="7E78A7BB" w:rsidR="006F46EC" w:rsidRPr="004A3847" w:rsidRDefault="006F46EC" w:rsidP="003257EE">
      <w:pPr>
        <w:pStyle w:val="Textoindependiente"/>
        <w:tabs>
          <w:tab w:val="left" w:pos="709"/>
        </w:tabs>
        <w:spacing w:after="0" w:line="360" w:lineRule="auto"/>
        <w:jc w:val="center"/>
        <w:rPr>
          <w:rStyle w:val="FontStyle26"/>
          <w:lang w:val="es-ES_tradnl" w:eastAsia="es-ES_tradnl"/>
        </w:rPr>
      </w:pPr>
    </w:p>
    <w:p w14:paraId="364988BF" w14:textId="525F51D1" w:rsidR="00EE4958" w:rsidRDefault="004876CE" w:rsidP="00EE4958">
      <w:pPr>
        <w:pStyle w:val="Textoindependiente"/>
        <w:tabs>
          <w:tab w:val="left" w:pos="709"/>
        </w:tabs>
        <w:spacing w:after="0" w:line="360" w:lineRule="auto"/>
        <w:ind w:firstLine="709"/>
        <w:jc w:val="both"/>
        <w:rPr>
          <w:rStyle w:val="FontStyle26"/>
          <w:b w:val="0"/>
          <w:bCs w:val="0"/>
          <w:lang w:val="es-ES_tradnl" w:eastAsia="es-ES_tradnl"/>
        </w:rPr>
      </w:pPr>
      <w:r w:rsidRPr="00A64194">
        <w:rPr>
          <w:rStyle w:val="FontStyle26"/>
          <w:b w:val="0"/>
          <w:bCs w:val="0"/>
          <w:lang w:val="es-ES_tradnl" w:eastAsia="es-ES_tradnl"/>
        </w:rPr>
        <w:t>E</w:t>
      </w:r>
      <w:r w:rsidR="001F6E49" w:rsidRPr="00A64194">
        <w:rPr>
          <w:rStyle w:val="FontStyle26"/>
          <w:b w:val="0"/>
          <w:bCs w:val="0"/>
          <w:lang w:val="es-ES_tradnl" w:eastAsia="es-ES_tradnl"/>
        </w:rPr>
        <w:t xml:space="preserve">l ruego de </w:t>
      </w:r>
      <w:r w:rsidR="00C51C66" w:rsidRPr="00C51C66">
        <w:rPr>
          <w:rStyle w:val="FontStyle26"/>
          <w:b w:val="0"/>
          <w:bCs w:val="0"/>
          <w:lang w:val="es-ES_tradnl" w:eastAsia="es-ES_tradnl"/>
        </w:rPr>
        <w:t>Teófilo Calderón Escandón</w:t>
      </w:r>
      <w:r w:rsidR="00C51C66">
        <w:rPr>
          <w:rStyle w:val="FontStyle26"/>
          <w:b w:val="0"/>
          <w:bCs w:val="0"/>
          <w:lang w:val="es-ES_tradnl" w:eastAsia="es-ES_tradnl"/>
        </w:rPr>
        <w:t xml:space="preserve"> </w:t>
      </w:r>
      <w:r w:rsidR="001F6E49" w:rsidRPr="00A64194">
        <w:rPr>
          <w:rStyle w:val="FontStyle26"/>
          <w:b w:val="0"/>
          <w:bCs w:val="0"/>
          <w:lang w:val="es-ES_tradnl" w:eastAsia="es-ES_tradnl"/>
        </w:rPr>
        <w:t xml:space="preserve">debe desestimarse </w:t>
      </w:r>
      <w:r w:rsidR="006F46EC" w:rsidRPr="00A64194">
        <w:rPr>
          <w:rStyle w:val="FontStyle26"/>
          <w:b w:val="0"/>
          <w:bCs w:val="0"/>
          <w:lang w:val="es-ES_tradnl" w:eastAsia="es-ES_tradnl"/>
        </w:rPr>
        <w:t xml:space="preserve">y, en consecuencia, </w:t>
      </w:r>
      <w:r w:rsidR="002C3957" w:rsidRPr="00A64194">
        <w:rPr>
          <w:rStyle w:val="FontStyle26"/>
          <w:b w:val="0"/>
          <w:bCs w:val="0"/>
          <w:lang w:val="es-ES_tradnl" w:eastAsia="es-ES_tradnl"/>
        </w:rPr>
        <w:t>se</w:t>
      </w:r>
      <w:r w:rsidR="001D35E3" w:rsidRPr="00A64194">
        <w:rPr>
          <w:rStyle w:val="FontStyle26"/>
          <w:b w:val="0"/>
          <w:bCs w:val="0"/>
          <w:lang w:val="es-ES_tradnl" w:eastAsia="es-ES_tradnl"/>
        </w:rPr>
        <w:t xml:space="preserve">rá confirmado </w:t>
      </w:r>
      <w:r w:rsidR="00DC6E22" w:rsidRPr="00A64194">
        <w:rPr>
          <w:rStyle w:val="FontStyle26"/>
          <w:b w:val="0"/>
          <w:bCs w:val="0"/>
          <w:lang w:val="es-ES_tradnl" w:eastAsia="es-ES_tradnl"/>
        </w:rPr>
        <w:t>el proveído opugnado</w:t>
      </w:r>
      <w:r w:rsidR="002C3957" w:rsidRPr="00A64194">
        <w:rPr>
          <w:rStyle w:val="FontStyle26"/>
          <w:b w:val="0"/>
          <w:bCs w:val="0"/>
          <w:lang w:val="es-ES_tradnl" w:eastAsia="es-ES_tradnl"/>
        </w:rPr>
        <w:t xml:space="preserve"> </w:t>
      </w:r>
      <w:r w:rsidR="00EE4958" w:rsidRPr="00EE4958">
        <w:rPr>
          <w:rStyle w:val="FontStyle26"/>
          <w:b w:val="0"/>
          <w:bCs w:val="0"/>
          <w:lang w:val="es-ES_tradnl" w:eastAsia="es-ES_tradnl"/>
        </w:rPr>
        <w:t xml:space="preserve">porque </w:t>
      </w:r>
      <w:r w:rsidR="00EE4958">
        <w:rPr>
          <w:rStyle w:val="FontStyle26"/>
          <w:b w:val="0"/>
          <w:bCs w:val="0"/>
          <w:lang w:val="es-ES_tradnl" w:eastAsia="es-ES_tradnl"/>
        </w:rPr>
        <w:t xml:space="preserve">si bien el auto que rechazó la demanda de insolvencia empresarial no es susceptible de recurso de apelación </w:t>
      </w:r>
      <w:r w:rsidR="00EE4958" w:rsidRPr="00EE4958">
        <w:rPr>
          <w:rStyle w:val="FontStyle26"/>
          <w:b w:val="0"/>
          <w:bCs w:val="0"/>
          <w:lang w:val="es-ES_tradnl" w:eastAsia="es-ES_tradnl"/>
        </w:rPr>
        <w:t xml:space="preserve">por expresa previsión legal – </w:t>
      </w:r>
      <w:r w:rsidR="00EE4958" w:rsidRPr="0057151F">
        <w:rPr>
          <w:rStyle w:val="FontStyle26"/>
          <w:b w:val="0"/>
          <w:bCs w:val="0"/>
          <w:i/>
          <w:iCs/>
          <w:sz w:val="24"/>
          <w:szCs w:val="24"/>
          <w:lang w:val="es-ES_tradnl" w:eastAsia="es-ES_tradnl"/>
        </w:rPr>
        <w:t>Cfr. artículo 6°, parágrafo 1°,</w:t>
      </w:r>
      <w:r w:rsidR="007C326F" w:rsidRPr="0057151F">
        <w:rPr>
          <w:rStyle w:val="FontStyle26"/>
          <w:b w:val="0"/>
          <w:bCs w:val="0"/>
          <w:i/>
          <w:iCs/>
          <w:sz w:val="24"/>
          <w:szCs w:val="24"/>
          <w:lang w:val="es-ES_tradnl" w:eastAsia="es-ES_tradnl"/>
        </w:rPr>
        <w:t xml:space="preserve"> </w:t>
      </w:r>
      <w:r w:rsidR="00EE4958" w:rsidRPr="0057151F">
        <w:rPr>
          <w:rStyle w:val="FontStyle26"/>
          <w:b w:val="0"/>
          <w:bCs w:val="0"/>
          <w:i/>
          <w:iCs/>
          <w:sz w:val="24"/>
          <w:szCs w:val="24"/>
          <w:lang w:val="es-ES_tradnl" w:eastAsia="es-ES_tradnl"/>
        </w:rPr>
        <w:t>de la Ley 1116 de 2006</w:t>
      </w:r>
      <w:r w:rsidR="00EE4958" w:rsidRPr="0057151F">
        <w:rPr>
          <w:rStyle w:val="FontStyle26"/>
          <w:b w:val="0"/>
          <w:bCs w:val="0"/>
          <w:lang w:val="es-ES_tradnl" w:eastAsia="es-ES_tradnl"/>
        </w:rPr>
        <w:t>-;</w:t>
      </w:r>
      <w:r w:rsidR="00EE4958">
        <w:rPr>
          <w:rStyle w:val="FontStyle26"/>
          <w:b w:val="0"/>
          <w:bCs w:val="0"/>
          <w:lang w:val="es-ES_tradnl" w:eastAsia="es-ES_tradnl"/>
        </w:rPr>
        <w:t xml:space="preserve"> </w:t>
      </w:r>
      <w:r w:rsidR="00EE4958" w:rsidRPr="00EE4958">
        <w:rPr>
          <w:rStyle w:val="FontStyle26"/>
          <w:b w:val="0"/>
          <w:bCs w:val="0"/>
          <w:lang w:val="es-ES_tradnl" w:eastAsia="es-ES_tradnl"/>
        </w:rPr>
        <w:t>l</w:t>
      </w:r>
      <w:r w:rsidR="00847F60">
        <w:rPr>
          <w:rStyle w:val="FontStyle26"/>
          <w:b w:val="0"/>
          <w:bCs w:val="0"/>
          <w:lang w:val="es-ES_tradnl" w:eastAsia="es-ES_tradnl"/>
        </w:rPr>
        <w:t xml:space="preserve">as reflexiones </w:t>
      </w:r>
      <w:r w:rsidR="00EE4958" w:rsidRPr="00EE4958">
        <w:rPr>
          <w:rStyle w:val="FontStyle26"/>
          <w:b w:val="0"/>
          <w:bCs w:val="0"/>
          <w:lang w:val="es-ES_tradnl" w:eastAsia="es-ES_tradnl"/>
        </w:rPr>
        <w:t>de</w:t>
      </w:r>
      <w:r w:rsidR="00EE4958">
        <w:rPr>
          <w:rStyle w:val="FontStyle26"/>
          <w:b w:val="0"/>
          <w:bCs w:val="0"/>
          <w:lang w:val="es-ES_tradnl" w:eastAsia="es-ES_tradnl"/>
        </w:rPr>
        <w:t>l estrado judicial fustigado</w:t>
      </w:r>
      <w:r w:rsidR="00EE4958" w:rsidRPr="00EE4958">
        <w:rPr>
          <w:rStyle w:val="FontStyle26"/>
          <w:b w:val="0"/>
          <w:bCs w:val="0"/>
          <w:lang w:val="es-ES_tradnl" w:eastAsia="es-ES_tradnl"/>
        </w:rPr>
        <w:t xml:space="preserve"> aquí reprochados no lucen arbitrari</w:t>
      </w:r>
      <w:r w:rsidR="00754EA8">
        <w:rPr>
          <w:rStyle w:val="FontStyle26"/>
          <w:b w:val="0"/>
          <w:bCs w:val="0"/>
          <w:lang w:val="es-ES_tradnl" w:eastAsia="es-ES_tradnl"/>
        </w:rPr>
        <w:t>a</w:t>
      </w:r>
      <w:r w:rsidR="00EE4958" w:rsidRPr="00EE4958">
        <w:rPr>
          <w:rStyle w:val="FontStyle26"/>
          <w:b w:val="0"/>
          <w:bCs w:val="0"/>
          <w:lang w:val="es-ES_tradnl" w:eastAsia="es-ES_tradnl"/>
        </w:rPr>
        <w:t>s o caprichos</w:t>
      </w:r>
      <w:r w:rsidR="00754EA8">
        <w:rPr>
          <w:rStyle w:val="FontStyle26"/>
          <w:b w:val="0"/>
          <w:bCs w:val="0"/>
          <w:lang w:val="es-ES_tradnl" w:eastAsia="es-ES_tradnl"/>
        </w:rPr>
        <w:t>a</w:t>
      </w:r>
      <w:r w:rsidR="00EE4958" w:rsidRPr="00EE4958">
        <w:rPr>
          <w:rStyle w:val="FontStyle26"/>
          <w:b w:val="0"/>
          <w:bCs w:val="0"/>
          <w:lang w:val="es-ES_tradnl" w:eastAsia="es-ES_tradnl"/>
        </w:rPr>
        <w:t>s, conforme pasa a explicarse.</w:t>
      </w:r>
    </w:p>
    <w:p w14:paraId="001298D6" w14:textId="77777777" w:rsidR="00EE4958" w:rsidRDefault="00EE4958" w:rsidP="00C51C66">
      <w:pPr>
        <w:pStyle w:val="Textoindependiente"/>
        <w:tabs>
          <w:tab w:val="left" w:pos="709"/>
        </w:tabs>
        <w:spacing w:after="0" w:line="360" w:lineRule="auto"/>
        <w:ind w:firstLine="709"/>
        <w:jc w:val="both"/>
        <w:rPr>
          <w:rStyle w:val="FontStyle26"/>
          <w:b w:val="0"/>
          <w:bCs w:val="0"/>
          <w:lang w:val="es-ES_tradnl" w:eastAsia="es-ES_tradnl"/>
        </w:rPr>
      </w:pPr>
    </w:p>
    <w:p w14:paraId="1B5AB385" w14:textId="77777777" w:rsidR="00EE4958" w:rsidRPr="00EE4958" w:rsidRDefault="00EE4958" w:rsidP="00EE4958">
      <w:pPr>
        <w:pStyle w:val="Textoindependiente"/>
        <w:tabs>
          <w:tab w:val="left" w:pos="709"/>
        </w:tabs>
        <w:spacing w:line="360" w:lineRule="auto"/>
        <w:ind w:firstLine="709"/>
        <w:jc w:val="both"/>
        <w:rPr>
          <w:rStyle w:val="FontStyle26"/>
          <w:b w:val="0"/>
          <w:bCs w:val="0"/>
          <w:lang w:val="es-ES_tradnl" w:eastAsia="es-ES_tradnl"/>
        </w:rPr>
      </w:pPr>
      <w:r>
        <w:rPr>
          <w:rStyle w:val="FontStyle26"/>
          <w:b w:val="0"/>
          <w:bCs w:val="0"/>
          <w:lang w:val="es-ES_tradnl" w:eastAsia="es-ES_tradnl"/>
        </w:rPr>
        <w:lastRenderedPageBreak/>
        <w:t xml:space="preserve"> </w:t>
      </w:r>
      <w:r w:rsidRPr="00EE4958">
        <w:rPr>
          <w:rStyle w:val="FontStyle26"/>
          <w:b w:val="0"/>
          <w:bCs w:val="0"/>
          <w:lang w:val="es-ES_tradnl" w:eastAsia="es-ES_tradnl"/>
        </w:rPr>
        <w:t xml:space="preserve">En principio, debe reiterarse que esta institución no fue creada para replicar la actividad jurisdiccional, salvo cuando exista una irregularidad que configure </w:t>
      </w:r>
      <w:r w:rsidRPr="00D56F48">
        <w:rPr>
          <w:rStyle w:val="FontStyle26"/>
          <w:b w:val="0"/>
          <w:bCs w:val="0"/>
          <w:i/>
          <w:iCs/>
          <w:lang w:val="es-ES_tradnl" w:eastAsia="es-ES_tradnl"/>
        </w:rPr>
        <w:t>«vía de hecho»</w:t>
      </w:r>
      <w:r w:rsidRPr="00EE4958">
        <w:rPr>
          <w:rStyle w:val="FontStyle26"/>
          <w:b w:val="0"/>
          <w:bCs w:val="0"/>
          <w:lang w:val="es-ES_tradnl" w:eastAsia="es-ES_tradnl"/>
        </w:rPr>
        <w:t xml:space="preserve"> y el interesado así lo exponga dentro de un tiempo prudencial, siempre que no tenga ni haya desaprovechado otros instrumentos ordinarios o extraordinarios para conjurar el agravio. De ahí que, solamente </w:t>
      </w:r>
      <w:r w:rsidRPr="004E5BA6">
        <w:rPr>
          <w:rStyle w:val="FontStyle26"/>
          <w:b w:val="0"/>
          <w:bCs w:val="0"/>
          <w:i/>
          <w:iCs/>
          <w:lang w:val="es-ES_tradnl" w:eastAsia="es-ES_tradnl"/>
        </w:rPr>
        <w:t xml:space="preserve">«en los precisos casos en los cuales el funcionario respectivo incurra en un proceder claramente opuesto a la ley, por arbitrario o antojadizo, puede intervenir el juez de tutela con el fin de restablecer el orden jurídico si el afectado no cuenta con otro medio de protección judicial» </w:t>
      </w:r>
      <w:r w:rsidRPr="00EE4958">
        <w:rPr>
          <w:rStyle w:val="FontStyle26"/>
          <w:b w:val="0"/>
          <w:bCs w:val="0"/>
          <w:lang w:val="es-ES_tradnl" w:eastAsia="es-ES_tradnl"/>
        </w:rPr>
        <w:t>(CSJ STC9877-2018, CSJ STC9600-2019).</w:t>
      </w:r>
    </w:p>
    <w:p w14:paraId="01A5ADAB" w14:textId="77777777" w:rsidR="00EE4958" w:rsidRPr="00EE4958" w:rsidRDefault="00EE4958" w:rsidP="00EE4958">
      <w:pPr>
        <w:pStyle w:val="Textoindependiente"/>
        <w:tabs>
          <w:tab w:val="left" w:pos="709"/>
        </w:tabs>
        <w:spacing w:line="360" w:lineRule="auto"/>
        <w:ind w:firstLine="709"/>
        <w:jc w:val="both"/>
        <w:rPr>
          <w:rStyle w:val="FontStyle26"/>
          <w:b w:val="0"/>
          <w:bCs w:val="0"/>
          <w:lang w:val="es-ES_tradnl" w:eastAsia="es-ES_tradnl"/>
        </w:rPr>
      </w:pPr>
    </w:p>
    <w:p w14:paraId="1134BC31" w14:textId="78701B9F" w:rsidR="00AE640A" w:rsidRDefault="00EE4958" w:rsidP="006F7614">
      <w:pPr>
        <w:pStyle w:val="Textoindependiente"/>
        <w:tabs>
          <w:tab w:val="left" w:pos="709"/>
        </w:tabs>
        <w:spacing w:after="0" w:line="360" w:lineRule="auto"/>
        <w:ind w:firstLine="709"/>
        <w:jc w:val="both"/>
        <w:rPr>
          <w:rStyle w:val="FontStyle26"/>
          <w:b w:val="0"/>
          <w:bCs w:val="0"/>
          <w:lang w:val="es-ES_tradnl" w:eastAsia="es-ES_tradnl"/>
        </w:rPr>
      </w:pPr>
      <w:r w:rsidRPr="00EE4958">
        <w:rPr>
          <w:rStyle w:val="FontStyle26"/>
          <w:b w:val="0"/>
          <w:bCs w:val="0"/>
          <w:lang w:val="es-ES_tradnl" w:eastAsia="es-ES_tradnl"/>
        </w:rPr>
        <w:t>Ahora bien, tras revisar la determinación sometida a escrutinio</w:t>
      </w:r>
      <w:r w:rsidR="00BE0A47">
        <w:rPr>
          <w:rStyle w:val="FontStyle26"/>
          <w:b w:val="0"/>
          <w:bCs w:val="0"/>
          <w:lang w:val="es-ES_tradnl" w:eastAsia="es-ES_tradnl"/>
        </w:rPr>
        <w:t xml:space="preserve">, esto es, la proferida por </w:t>
      </w:r>
      <w:r w:rsidR="00BE0A47" w:rsidRPr="00BE0A47">
        <w:rPr>
          <w:rStyle w:val="FontStyle26"/>
          <w:b w:val="0"/>
          <w:bCs w:val="0"/>
          <w:lang w:val="es-ES_tradnl" w:eastAsia="es-ES_tradnl"/>
        </w:rPr>
        <w:t>el Juzgado Octavo Civil del Circuito de esta</w:t>
      </w:r>
      <w:r w:rsidR="00BE0A47">
        <w:rPr>
          <w:rStyle w:val="FontStyle26"/>
          <w:b w:val="0"/>
          <w:bCs w:val="0"/>
          <w:lang w:val="es-ES_tradnl" w:eastAsia="es-ES_tradnl"/>
        </w:rPr>
        <w:t xml:space="preserve"> ciudad </w:t>
      </w:r>
      <w:r w:rsidR="00754EA8">
        <w:rPr>
          <w:rStyle w:val="FontStyle26"/>
          <w:b w:val="0"/>
          <w:bCs w:val="0"/>
          <w:lang w:val="es-ES_tradnl" w:eastAsia="es-ES_tradnl"/>
        </w:rPr>
        <w:t xml:space="preserve">que data </w:t>
      </w:r>
      <w:r w:rsidR="00BE0A47">
        <w:rPr>
          <w:rStyle w:val="FontStyle26"/>
          <w:b w:val="0"/>
          <w:bCs w:val="0"/>
          <w:lang w:val="es-ES_tradnl" w:eastAsia="es-ES_tradnl"/>
        </w:rPr>
        <w:t>28 de mayo</w:t>
      </w:r>
      <w:r w:rsidR="00754EA8">
        <w:rPr>
          <w:rStyle w:val="FontStyle26"/>
          <w:b w:val="0"/>
          <w:bCs w:val="0"/>
          <w:lang w:val="es-ES_tradnl" w:eastAsia="es-ES_tradnl"/>
        </w:rPr>
        <w:t xml:space="preserve"> último</w:t>
      </w:r>
      <w:r w:rsidR="00BE0A47">
        <w:rPr>
          <w:rStyle w:val="FontStyle26"/>
          <w:b w:val="0"/>
          <w:bCs w:val="0"/>
          <w:lang w:val="es-ES_tradnl" w:eastAsia="es-ES_tradnl"/>
        </w:rPr>
        <w:t xml:space="preserve">, donde </w:t>
      </w:r>
      <w:r w:rsidR="00AE640A">
        <w:rPr>
          <w:rStyle w:val="FontStyle26"/>
          <w:b w:val="0"/>
          <w:bCs w:val="0"/>
          <w:lang w:val="es-ES_tradnl" w:eastAsia="es-ES_tradnl"/>
        </w:rPr>
        <w:t>d</w:t>
      </w:r>
      <w:r w:rsidR="004E5BA6">
        <w:rPr>
          <w:rStyle w:val="FontStyle26"/>
          <w:b w:val="0"/>
          <w:bCs w:val="0"/>
          <w:lang w:val="es-ES_tradnl" w:eastAsia="es-ES_tradnl"/>
        </w:rPr>
        <w:t xml:space="preserve">enegó el recurso de reposición </w:t>
      </w:r>
      <w:r w:rsidR="00AE640A">
        <w:rPr>
          <w:rStyle w:val="FontStyle26"/>
          <w:b w:val="0"/>
          <w:bCs w:val="0"/>
          <w:lang w:val="es-ES_tradnl" w:eastAsia="es-ES_tradnl"/>
        </w:rPr>
        <w:t xml:space="preserve">formulado </w:t>
      </w:r>
      <w:r w:rsidR="00F93364">
        <w:rPr>
          <w:rStyle w:val="FontStyle26"/>
          <w:b w:val="0"/>
          <w:bCs w:val="0"/>
          <w:lang w:val="es-ES_tradnl" w:eastAsia="es-ES_tradnl"/>
        </w:rPr>
        <w:t xml:space="preserve">por el memorialista contra </w:t>
      </w:r>
      <w:r w:rsidR="00AE640A" w:rsidRPr="00AE640A">
        <w:rPr>
          <w:rStyle w:val="FontStyle26"/>
          <w:b w:val="0"/>
          <w:bCs w:val="0"/>
          <w:lang w:val="es-ES_tradnl" w:eastAsia="es-ES_tradnl"/>
        </w:rPr>
        <w:t>el auto de 12 de marzo de</w:t>
      </w:r>
      <w:r w:rsidR="00754EA8">
        <w:rPr>
          <w:rStyle w:val="FontStyle26"/>
          <w:b w:val="0"/>
          <w:bCs w:val="0"/>
          <w:lang w:val="es-ES_tradnl" w:eastAsia="es-ES_tradnl"/>
        </w:rPr>
        <w:t xml:space="preserve">l presente que </w:t>
      </w:r>
      <w:r w:rsidR="00F93364">
        <w:rPr>
          <w:rStyle w:val="FontStyle26"/>
          <w:b w:val="0"/>
          <w:bCs w:val="0"/>
          <w:lang w:val="es-ES_tradnl" w:eastAsia="es-ES_tradnl"/>
        </w:rPr>
        <w:t>r</w:t>
      </w:r>
      <w:r w:rsidR="00AE640A" w:rsidRPr="00AE640A">
        <w:rPr>
          <w:rStyle w:val="FontStyle26"/>
          <w:b w:val="0"/>
          <w:bCs w:val="0"/>
          <w:lang w:val="es-ES_tradnl" w:eastAsia="es-ES_tradnl"/>
        </w:rPr>
        <w:t>echazó la demanda</w:t>
      </w:r>
      <w:r w:rsidR="00F93364">
        <w:rPr>
          <w:rStyle w:val="FontStyle26"/>
          <w:b w:val="0"/>
          <w:bCs w:val="0"/>
          <w:lang w:val="es-ES_tradnl" w:eastAsia="es-ES_tradnl"/>
        </w:rPr>
        <w:t xml:space="preserve"> de reorganización empresarial, </w:t>
      </w:r>
      <w:r w:rsidR="00166D6C">
        <w:rPr>
          <w:rStyle w:val="FontStyle26"/>
          <w:b w:val="0"/>
          <w:bCs w:val="0"/>
          <w:lang w:val="es-ES_tradnl" w:eastAsia="es-ES_tradnl"/>
        </w:rPr>
        <w:t>por no aportar</w:t>
      </w:r>
      <w:r w:rsidR="00F93364">
        <w:rPr>
          <w:rStyle w:val="FontStyle26"/>
          <w:b w:val="0"/>
          <w:bCs w:val="0"/>
          <w:lang w:val="es-ES_tradnl" w:eastAsia="es-ES_tradnl"/>
        </w:rPr>
        <w:t xml:space="preserve"> </w:t>
      </w:r>
      <w:r w:rsidR="00AE640A" w:rsidRPr="00AE640A">
        <w:rPr>
          <w:rStyle w:val="FontStyle26"/>
          <w:b w:val="0"/>
          <w:bCs w:val="0"/>
          <w:lang w:val="es-ES_tradnl" w:eastAsia="es-ES_tradnl"/>
        </w:rPr>
        <w:t xml:space="preserve">los documentos </w:t>
      </w:r>
      <w:r w:rsidR="00FE22ED">
        <w:rPr>
          <w:rStyle w:val="FontStyle26"/>
          <w:b w:val="0"/>
          <w:bCs w:val="0"/>
          <w:lang w:val="es-ES_tradnl" w:eastAsia="es-ES_tradnl"/>
        </w:rPr>
        <w:t>de</w:t>
      </w:r>
      <w:r w:rsidR="00AE640A" w:rsidRPr="00AE640A">
        <w:rPr>
          <w:rStyle w:val="FontStyle26"/>
          <w:b w:val="0"/>
          <w:bCs w:val="0"/>
          <w:lang w:val="es-ES_tradnl" w:eastAsia="es-ES_tradnl"/>
        </w:rPr>
        <w:t xml:space="preserve"> contabilidad regular </w:t>
      </w:r>
      <w:r w:rsidR="00FE22ED">
        <w:rPr>
          <w:rStyle w:val="FontStyle26"/>
          <w:b w:val="0"/>
          <w:bCs w:val="0"/>
          <w:lang w:val="es-ES_tradnl" w:eastAsia="es-ES_tradnl"/>
        </w:rPr>
        <w:t>de</w:t>
      </w:r>
      <w:r w:rsidR="00AE640A" w:rsidRPr="00AE640A">
        <w:rPr>
          <w:rStyle w:val="FontStyle26"/>
          <w:b w:val="0"/>
          <w:bCs w:val="0"/>
          <w:lang w:val="es-ES_tradnl" w:eastAsia="es-ES_tradnl"/>
        </w:rPr>
        <w:t xml:space="preserve"> sus</w:t>
      </w:r>
      <w:r w:rsidR="00F93364">
        <w:rPr>
          <w:rStyle w:val="FontStyle26"/>
          <w:b w:val="0"/>
          <w:bCs w:val="0"/>
          <w:lang w:val="es-ES_tradnl" w:eastAsia="es-ES_tradnl"/>
        </w:rPr>
        <w:t xml:space="preserve"> </w:t>
      </w:r>
      <w:r w:rsidR="00AE640A" w:rsidRPr="00AE640A">
        <w:rPr>
          <w:rStyle w:val="FontStyle26"/>
          <w:b w:val="0"/>
          <w:bCs w:val="0"/>
          <w:lang w:val="es-ES_tradnl" w:eastAsia="es-ES_tradnl"/>
        </w:rPr>
        <w:t>negocios conforme a las prescripciones legales</w:t>
      </w:r>
      <w:r w:rsidR="00F93364">
        <w:rPr>
          <w:rStyle w:val="FontStyle26"/>
          <w:b w:val="0"/>
          <w:bCs w:val="0"/>
          <w:lang w:val="es-ES_tradnl" w:eastAsia="es-ES_tradnl"/>
        </w:rPr>
        <w:t xml:space="preserve">, </w:t>
      </w:r>
      <w:r w:rsidR="00EF7D33">
        <w:rPr>
          <w:rStyle w:val="FontStyle26"/>
          <w:b w:val="0"/>
          <w:bCs w:val="0"/>
          <w:lang w:val="es-ES_tradnl" w:eastAsia="es-ES_tradnl"/>
        </w:rPr>
        <w:t xml:space="preserve">es </w:t>
      </w:r>
      <w:r w:rsidR="00FE22ED">
        <w:rPr>
          <w:rStyle w:val="FontStyle26"/>
          <w:b w:val="0"/>
          <w:bCs w:val="0"/>
          <w:lang w:val="es-ES_tradnl" w:eastAsia="es-ES_tradnl"/>
        </w:rPr>
        <w:t>decir,</w:t>
      </w:r>
      <w:r w:rsidR="00F93364">
        <w:rPr>
          <w:rStyle w:val="FontStyle26"/>
          <w:b w:val="0"/>
          <w:bCs w:val="0"/>
          <w:lang w:val="es-ES_tradnl" w:eastAsia="es-ES_tradnl"/>
        </w:rPr>
        <w:t xml:space="preserve"> artículos 19, numeral 3°, 28, 48 y 50 del Código de Comercio, canon </w:t>
      </w:r>
      <w:r w:rsidR="00F93364" w:rsidRPr="00F93364">
        <w:rPr>
          <w:rStyle w:val="FontStyle26"/>
          <w:b w:val="0"/>
          <w:bCs w:val="0"/>
          <w:lang w:val="es-ES_tradnl" w:eastAsia="es-ES_tradnl"/>
        </w:rPr>
        <w:t>125 del Decreto 2649 de 1993</w:t>
      </w:r>
      <w:r w:rsidR="006F7614">
        <w:rPr>
          <w:rStyle w:val="FontStyle26"/>
          <w:b w:val="0"/>
          <w:bCs w:val="0"/>
          <w:lang w:val="es-ES_tradnl" w:eastAsia="es-ES_tradnl"/>
        </w:rPr>
        <w:t xml:space="preserve"> y preceptos 10, numeral 2 y 13 de la L</w:t>
      </w:r>
      <w:r w:rsidR="00AE640A" w:rsidRPr="00AE640A">
        <w:rPr>
          <w:rStyle w:val="FontStyle26"/>
          <w:b w:val="0"/>
          <w:bCs w:val="0"/>
          <w:lang w:val="es-ES_tradnl" w:eastAsia="es-ES_tradnl"/>
        </w:rPr>
        <w:t>ey 1116 de 2006</w:t>
      </w:r>
      <w:r w:rsidR="006F7614">
        <w:rPr>
          <w:rStyle w:val="FontStyle26"/>
          <w:b w:val="0"/>
          <w:bCs w:val="0"/>
          <w:lang w:val="es-ES_tradnl" w:eastAsia="es-ES_tradnl"/>
        </w:rPr>
        <w:t xml:space="preserve">, </w:t>
      </w:r>
      <w:r w:rsidR="000E45AF">
        <w:rPr>
          <w:rStyle w:val="FontStyle26"/>
          <w:b w:val="0"/>
          <w:bCs w:val="0"/>
          <w:lang w:val="es-ES_tradnl" w:eastAsia="es-ES_tradnl"/>
        </w:rPr>
        <w:t xml:space="preserve">exigencias consagradas en </w:t>
      </w:r>
      <w:r w:rsidR="00A32CD5">
        <w:rPr>
          <w:rStyle w:val="FontStyle26"/>
          <w:b w:val="0"/>
          <w:bCs w:val="0"/>
          <w:lang w:val="es-ES_tradnl" w:eastAsia="es-ES_tradnl"/>
        </w:rPr>
        <w:t xml:space="preserve">el auto </w:t>
      </w:r>
      <w:proofErr w:type="spellStart"/>
      <w:r w:rsidR="000E45AF">
        <w:rPr>
          <w:rStyle w:val="FontStyle26"/>
          <w:b w:val="0"/>
          <w:bCs w:val="0"/>
          <w:lang w:val="es-ES_tradnl" w:eastAsia="es-ES_tradnl"/>
        </w:rPr>
        <w:t>in</w:t>
      </w:r>
      <w:r w:rsidR="00A32CD5">
        <w:rPr>
          <w:rStyle w:val="FontStyle26"/>
          <w:b w:val="0"/>
          <w:bCs w:val="0"/>
          <w:lang w:val="es-ES_tradnl" w:eastAsia="es-ES_tradnl"/>
        </w:rPr>
        <w:t>admisorio</w:t>
      </w:r>
      <w:proofErr w:type="spellEnd"/>
      <w:r w:rsidR="00A32CD5">
        <w:rPr>
          <w:rStyle w:val="FontStyle26"/>
          <w:b w:val="0"/>
          <w:bCs w:val="0"/>
          <w:lang w:val="es-ES_tradnl" w:eastAsia="es-ES_tradnl"/>
        </w:rPr>
        <w:t xml:space="preserve"> </w:t>
      </w:r>
      <w:r w:rsidR="000E45AF">
        <w:rPr>
          <w:rStyle w:val="FontStyle26"/>
          <w:b w:val="0"/>
          <w:bCs w:val="0"/>
          <w:lang w:val="es-ES_tradnl" w:eastAsia="es-ES_tradnl"/>
        </w:rPr>
        <w:t xml:space="preserve">(20 oct. 2020), </w:t>
      </w:r>
      <w:r w:rsidR="006F7614" w:rsidRPr="006F7614">
        <w:rPr>
          <w:rStyle w:val="FontStyle26"/>
          <w:b w:val="0"/>
          <w:bCs w:val="0"/>
          <w:lang w:val="es-ES_tradnl" w:eastAsia="es-ES_tradnl"/>
        </w:rPr>
        <w:t>cabe observar que no se advierte la configuración de alguna vía de hecho, menos la vulneración de las prerrogativas fundamentales invocadas, comoquiera que se ajustó a una hermenéutica plausible.</w:t>
      </w:r>
    </w:p>
    <w:p w14:paraId="0B3F1C6C" w14:textId="0F322471" w:rsidR="006F7614" w:rsidRDefault="006F7614" w:rsidP="006F7614">
      <w:pPr>
        <w:pStyle w:val="Textoindependiente"/>
        <w:tabs>
          <w:tab w:val="left" w:pos="709"/>
        </w:tabs>
        <w:spacing w:after="0" w:line="360" w:lineRule="auto"/>
        <w:ind w:firstLine="709"/>
        <w:jc w:val="both"/>
        <w:rPr>
          <w:rStyle w:val="FontStyle26"/>
          <w:b w:val="0"/>
          <w:bCs w:val="0"/>
          <w:lang w:val="es-ES_tradnl" w:eastAsia="es-ES_tradnl"/>
        </w:rPr>
      </w:pPr>
    </w:p>
    <w:p w14:paraId="5EA8A4DC" w14:textId="536A53B8" w:rsidR="00A32CD5" w:rsidRDefault="00D56F48" w:rsidP="007764F3">
      <w:pPr>
        <w:pStyle w:val="Textoindependiente"/>
        <w:tabs>
          <w:tab w:val="left" w:pos="709"/>
        </w:tabs>
        <w:spacing w:line="360" w:lineRule="auto"/>
        <w:ind w:firstLine="709"/>
        <w:jc w:val="both"/>
        <w:rPr>
          <w:rStyle w:val="FontStyle26"/>
          <w:b w:val="0"/>
          <w:bCs w:val="0"/>
          <w:lang w:val="es-ES_tradnl" w:eastAsia="es-ES_tradnl"/>
        </w:rPr>
      </w:pPr>
      <w:r w:rsidRPr="00D56F48">
        <w:rPr>
          <w:rStyle w:val="FontStyle26"/>
          <w:b w:val="0"/>
          <w:bCs w:val="0"/>
          <w:lang w:val="es-ES_tradnl" w:eastAsia="es-ES_tradnl"/>
        </w:rPr>
        <w:lastRenderedPageBreak/>
        <w:t xml:space="preserve">En punto a los reparos formulados por </w:t>
      </w:r>
      <w:r>
        <w:rPr>
          <w:rStyle w:val="FontStyle26"/>
          <w:b w:val="0"/>
          <w:bCs w:val="0"/>
          <w:lang w:val="es-ES_tradnl" w:eastAsia="es-ES_tradnl"/>
        </w:rPr>
        <w:t>el</w:t>
      </w:r>
      <w:r w:rsidRPr="00D56F48">
        <w:rPr>
          <w:rStyle w:val="FontStyle26"/>
          <w:b w:val="0"/>
          <w:bCs w:val="0"/>
          <w:lang w:val="es-ES_tradnl" w:eastAsia="es-ES_tradnl"/>
        </w:rPr>
        <w:t xml:space="preserve"> interesad</w:t>
      </w:r>
      <w:r>
        <w:rPr>
          <w:rStyle w:val="FontStyle26"/>
          <w:b w:val="0"/>
          <w:bCs w:val="0"/>
          <w:lang w:val="es-ES_tradnl" w:eastAsia="es-ES_tradnl"/>
        </w:rPr>
        <w:t>o</w:t>
      </w:r>
      <w:r w:rsidRPr="00D56F48">
        <w:rPr>
          <w:rStyle w:val="FontStyle26"/>
          <w:b w:val="0"/>
          <w:bCs w:val="0"/>
          <w:lang w:val="es-ES_tradnl" w:eastAsia="es-ES_tradnl"/>
        </w:rPr>
        <w:t>, relacionados con</w:t>
      </w:r>
      <w:r>
        <w:rPr>
          <w:rStyle w:val="FontStyle26"/>
          <w:b w:val="0"/>
          <w:bCs w:val="0"/>
          <w:lang w:val="es-ES_tradnl" w:eastAsia="es-ES_tradnl"/>
        </w:rPr>
        <w:t xml:space="preserve"> la inaplicación de D</w:t>
      </w:r>
      <w:r w:rsidRPr="00D56F48">
        <w:rPr>
          <w:rStyle w:val="FontStyle26"/>
          <w:b w:val="0"/>
          <w:bCs w:val="0"/>
          <w:lang w:val="es-ES_tradnl" w:eastAsia="es-ES_tradnl"/>
        </w:rPr>
        <w:t xml:space="preserve">ecreto 2649 de 1993, </w:t>
      </w:r>
      <w:r>
        <w:rPr>
          <w:rStyle w:val="FontStyle26"/>
          <w:b w:val="0"/>
          <w:bCs w:val="0"/>
          <w:lang w:val="es-ES_tradnl" w:eastAsia="es-ES_tradnl"/>
        </w:rPr>
        <w:t xml:space="preserve">por cuanto está </w:t>
      </w:r>
      <w:r w:rsidRPr="00D56F48">
        <w:rPr>
          <w:rStyle w:val="FontStyle26"/>
          <w:b w:val="0"/>
          <w:bCs w:val="0"/>
          <w:i/>
          <w:iCs/>
          <w:lang w:val="es-ES_tradnl" w:eastAsia="es-ES_tradnl"/>
        </w:rPr>
        <w:t>«cobijad[o] por la Ley 1314 de 2009, y sus Decretos reglamentarios</w:t>
      </w:r>
      <w:r>
        <w:rPr>
          <w:rStyle w:val="FontStyle26"/>
          <w:b w:val="0"/>
          <w:bCs w:val="0"/>
          <w:i/>
          <w:iCs/>
          <w:lang w:val="es-ES_tradnl" w:eastAsia="es-ES_tradnl"/>
        </w:rPr>
        <w:t xml:space="preserve">», </w:t>
      </w:r>
      <w:r>
        <w:rPr>
          <w:rStyle w:val="FontStyle26"/>
          <w:b w:val="0"/>
          <w:bCs w:val="0"/>
          <w:lang w:val="es-ES_tradnl" w:eastAsia="es-ES_tradnl"/>
        </w:rPr>
        <w:t xml:space="preserve">estos son, </w:t>
      </w:r>
      <w:r w:rsidRPr="00D56F48">
        <w:rPr>
          <w:rStyle w:val="FontStyle26"/>
          <w:b w:val="0"/>
          <w:bCs w:val="0"/>
          <w:i/>
          <w:iCs/>
          <w:lang w:val="es-ES_tradnl" w:eastAsia="es-ES_tradnl"/>
        </w:rPr>
        <w:t>2784 de 2012, 2706 de 2012 y 3022 de</w:t>
      </w:r>
      <w:r w:rsidR="007764F3">
        <w:rPr>
          <w:rStyle w:val="FontStyle26"/>
          <w:b w:val="0"/>
          <w:bCs w:val="0"/>
          <w:i/>
          <w:iCs/>
          <w:lang w:val="es-ES_tradnl" w:eastAsia="es-ES_tradnl"/>
        </w:rPr>
        <w:t xml:space="preserve"> 2013, </w:t>
      </w:r>
      <w:r w:rsidR="007764F3" w:rsidRPr="007764F3">
        <w:rPr>
          <w:rStyle w:val="FontStyle26"/>
          <w:b w:val="0"/>
          <w:bCs w:val="0"/>
          <w:lang w:val="es-ES_tradnl" w:eastAsia="es-ES_tradnl"/>
        </w:rPr>
        <w:t>ya que establecen las nuevas normas que</w:t>
      </w:r>
      <w:r w:rsidR="00A32CD5">
        <w:rPr>
          <w:rStyle w:val="FontStyle26"/>
          <w:b w:val="0"/>
          <w:bCs w:val="0"/>
          <w:lang w:val="es-ES_tradnl" w:eastAsia="es-ES_tradnl"/>
        </w:rPr>
        <w:t xml:space="preserve"> se debe tener en cuenta para las personas </w:t>
      </w:r>
      <w:r w:rsidR="007764F3" w:rsidRPr="007764F3">
        <w:rPr>
          <w:rStyle w:val="FontStyle26"/>
          <w:b w:val="0"/>
          <w:bCs w:val="0"/>
          <w:lang w:val="es-ES_tradnl" w:eastAsia="es-ES_tradnl"/>
        </w:rPr>
        <w:t>que llevan contabilidad y presentan información financiera</w:t>
      </w:r>
      <w:r w:rsidR="00A32CD5">
        <w:rPr>
          <w:rStyle w:val="FontStyle26"/>
          <w:b w:val="0"/>
          <w:bCs w:val="0"/>
          <w:lang w:val="es-ES_tradnl" w:eastAsia="es-ES_tradnl"/>
        </w:rPr>
        <w:t xml:space="preserve">, </w:t>
      </w:r>
      <w:r w:rsidR="00A32CD5" w:rsidRPr="00A32CD5">
        <w:rPr>
          <w:rStyle w:val="FontStyle26"/>
          <w:b w:val="0"/>
          <w:bCs w:val="0"/>
          <w:lang w:val="es-ES_tradnl" w:eastAsia="es-ES_tradnl"/>
        </w:rPr>
        <w:t xml:space="preserve">la autoridad enjuiciada </w:t>
      </w:r>
      <w:r w:rsidR="00C02955">
        <w:rPr>
          <w:rStyle w:val="FontStyle26"/>
          <w:b w:val="0"/>
          <w:bCs w:val="0"/>
          <w:lang w:val="es-ES_tradnl" w:eastAsia="es-ES_tradnl"/>
        </w:rPr>
        <w:t>sostuvo que</w:t>
      </w:r>
    </w:p>
    <w:p w14:paraId="55F0E9EA" w14:textId="77777777" w:rsidR="00C02955" w:rsidRDefault="00C02955" w:rsidP="00C02955">
      <w:pPr>
        <w:pStyle w:val="Textoindependiente"/>
        <w:tabs>
          <w:tab w:val="left" w:pos="709"/>
        </w:tabs>
        <w:spacing w:line="360" w:lineRule="auto"/>
        <w:jc w:val="both"/>
        <w:rPr>
          <w:rStyle w:val="FontStyle26"/>
          <w:b w:val="0"/>
          <w:bCs w:val="0"/>
          <w:lang w:val="es-ES_tradnl" w:eastAsia="es-ES_tradnl"/>
        </w:rPr>
      </w:pPr>
      <w:r>
        <w:rPr>
          <w:rStyle w:val="FontStyle26"/>
          <w:b w:val="0"/>
          <w:bCs w:val="0"/>
          <w:lang w:val="es-ES_tradnl" w:eastAsia="es-ES_tradnl"/>
        </w:rPr>
        <w:t xml:space="preserve"> </w:t>
      </w:r>
    </w:p>
    <w:p w14:paraId="1C8A6560" w14:textId="30B39F12"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Pr>
          <w:rStyle w:val="FontStyle26"/>
          <w:b w:val="0"/>
          <w:bCs w:val="0"/>
          <w:i/>
          <w:iCs/>
          <w:sz w:val="24"/>
          <w:szCs w:val="24"/>
          <w:lang w:val="es-ES_tradnl" w:eastAsia="es-ES_tradnl"/>
        </w:rPr>
        <w:t xml:space="preserve">(…) </w:t>
      </w:r>
      <w:r w:rsidRPr="00C02955">
        <w:rPr>
          <w:rStyle w:val="FontStyle26"/>
          <w:b w:val="0"/>
          <w:bCs w:val="0"/>
          <w:i/>
          <w:iCs/>
          <w:sz w:val="24"/>
          <w:szCs w:val="24"/>
          <w:lang w:val="es-ES_tradnl" w:eastAsia="es-ES_tradnl"/>
        </w:rPr>
        <w:t xml:space="preserve">si bien el Decreto 2649 de 1993 fue derogado en su integridad por el </w:t>
      </w:r>
      <w:r w:rsidR="001C22B4" w:rsidRPr="001C22B4">
        <w:rPr>
          <w:rStyle w:val="FontStyle26"/>
          <w:b w:val="0"/>
          <w:bCs w:val="0"/>
          <w:i/>
          <w:iCs/>
          <w:sz w:val="24"/>
          <w:szCs w:val="24"/>
          <w:lang w:val="es-ES_tradnl" w:eastAsia="es-ES_tradnl"/>
        </w:rPr>
        <w:t>Decreto 2270 de 2019</w:t>
      </w:r>
      <w:r w:rsidRPr="00C02955">
        <w:rPr>
          <w:rStyle w:val="FontStyle26"/>
          <w:b w:val="0"/>
          <w:bCs w:val="0"/>
          <w:i/>
          <w:iCs/>
          <w:sz w:val="24"/>
          <w:szCs w:val="24"/>
          <w:lang w:val="es-ES_tradnl" w:eastAsia="es-ES_tradnl"/>
        </w:rPr>
        <w:t xml:space="preserve">, su art[í]culo 125 fue reproducido por el artículo 8° del anexo técnico número 6 de 2019, que dispuso: </w:t>
      </w:r>
    </w:p>
    <w:p w14:paraId="28B5883E" w14:textId="3B7C9E9C"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“ARTICULO 8º. LIBROS. Los estados financieros deben ser elaborados con fundamento en los libros en los cuales se hubieren asentado los comprobantes.</w:t>
      </w:r>
    </w:p>
    <w:p w14:paraId="769F0940" w14:textId="5F1CAD2E"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Los libros deben conformarse y diligenciarse en forma tal que se garantice su autenticidad e integridad. Cada libro, de acuerdo con el uso a que se destina, debe llevar una numeración sucesiva y continúa. Las hojas y tarjetas deben ser codificadas por clase de libros.</w:t>
      </w:r>
    </w:p>
    <w:p w14:paraId="0DB39D2C" w14:textId="4E345192"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Atendiendo las normas legales, la naturaleza del ente económico y a la de sus operaciones, se deben llevar los libros necesarios para:</w:t>
      </w:r>
    </w:p>
    <w:p w14:paraId="26410B0D" w14:textId="77777777"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 xml:space="preserve">1. Asentar en orden cronológico todas las operaciones, bien en forma individual o por resúmenes globales no superiores a un mes. </w:t>
      </w:r>
    </w:p>
    <w:p w14:paraId="5D4B9215" w14:textId="77777777"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2. Establecer mensualmente el resumen de todas las operaciones por cada cuenta, sus movimientos débito y crédito, combinando el movimiento de los diferentes establecimientos.</w:t>
      </w:r>
    </w:p>
    <w:p w14:paraId="0113DF8D" w14:textId="329F115B" w:rsidR="00C02955" w:rsidRDefault="00C02955" w:rsidP="00C02955">
      <w:pPr>
        <w:pStyle w:val="Textoindependiente"/>
        <w:tabs>
          <w:tab w:val="left" w:pos="709"/>
        </w:tabs>
        <w:ind w:left="708"/>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t>3. Determinar la propiedad del ente, el movimiento de los aportes de capital y las restricciones que pesen sobre ellos. 4. Permitir el completo entendimiento de los anteriores. Para tal fin se deben llevar, entre otros, los auxiliares necesarios para: a) Conocer las transacciones individuales, cuando estas se registren en los libros de resumen en forma global. b) Establecer los activos y las obligaciones derivadas de las actividades propias de cada establecimiento, cuando se hubiere decidido llevar por separado la contabilidad de sus operaciones. c) Conocer los códigos o series cifradas que identifiquen las cuentas, así como los códigos o símbolos utilizados para describir las transacciones, con indicación de las adiciones, modificaciones, sustituciones o cancelaciones que se hagan de unas y otras. d) Controlar el movimiento de las mercancías, sea por unidades o por grupos homogéneos. e) Conciliar los estados financieros básicos con aquellos preparados sobre otras bases comprensivas de contabilidad. (…)</w:t>
      </w:r>
      <w:r>
        <w:rPr>
          <w:rStyle w:val="FontStyle26"/>
          <w:b w:val="0"/>
          <w:bCs w:val="0"/>
          <w:i/>
          <w:iCs/>
          <w:sz w:val="24"/>
          <w:szCs w:val="24"/>
          <w:lang w:val="es-ES_tradnl" w:eastAsia="es-ES_tradnl"/>
        </w:rPr>
        <w:t>.</w:t>
      </w:r>
    </w:p>
    <w:p w14:paraId="1B69B1B1" w14:textId="77777777" w:rsidR="00C02955" w:rsidRPr="00C02955" w:rsidRDefault="00C02955" w:rsidP="00C02955">
      <w:pPr>
        <w:pStyle w:val="Textoindependiente"/>
        <w:tabs>
          <w:tab w:val="left" w:pos="709"/>
        </w:tabs>
        <w:ind w:left="708"/>
        <w:jc w:val="both"/>
        <w:rPr>
          <w:rStyle w:val="FontStyle26"/>
          <w:b w:val="0"/>
          <w:bCs w:val="0"/>
          <w:i/>
          <w:iCs/>
          <w:sz w:val="24"/>
          <w:szCs w:val="24"/>
          <w:lang w:val="es-ES_tradnl" w:eastAsia="es-ES_tradnl"/>
        </w:rPr>
      </w:pPr>
    </w:p>
    <w:p w14:paraId="138BD22F" w14:textId="77777777" w:rsidR="00C02955" w:rsidRDefault="00C02955" w:rsidP="00C02955">
      <w:pPr>
        <w:pStyle w:val="Textoindependiente"/>
        <w:tabs>
          <w:tab w:val="left" w:pos="709"/>
        </w:tabs>
        <w:spacing w:line="360" w:lineRule="auto"/>
        <w:jc w:val="both"/>
        <w:rPr>
          <w:rStyle w:val="FontStyle26"/>
          <w:b w:val="0"/>
          <w:bCs w:val="0"/>
          <w:lang w:val="es-ES_tradnl" w:eastAsia="es-ES_tradnl"/>
        </w:rPr>
      </w:pPr>
      <w:r>
        <w:rPr>
          <w:rStyle w:val="FontStyle26"/>
          <w:b w:val="0"/>
          <w:bCs w:val="0"/>
          <w:lang w:val="es-ES_tradnl" w:eastAsia="es-ES_tradnl"/>
        </w:rPr>
        <w:t xml:space="preserve"> A su vez, acotó que </w:t>
      </w:r>
    </w:p>
    <w:p w14:paraId="61C6EDDA" w14:textId="77777777" w:rsidR="0071513D" w:rsidRDefault="00C02955" w:rsidP="0071513D">
      <w:pPr>
        <w:pStyle w:val="Textoindependiente"/>
        <w:tabs>
          <w:tab w:val="left" w:pos="709"/>
        </w:tabs>
        <w:ind w:left="1416"/>
        <w:jc w:val="both"/>
        <w:rPr>
          <w:rStyle w:val="FontStyle26"/>
          <w:b w:val="0"/>
          <w:bCs w:val="0"/>
          <w:i/>
          <w:iCs/>
          <w:sz w:val="24"/>
          <w:szCs w:val="24"/>
          <w:lang w:val="es-ES_tradnl" w:eastAsia="es-ES_tradnl"/>
        </w:rPr>
      </w:pPr>
      <w:r w:rsidRPr="00C02955">
        <w:rPr>
          <w:rStyle w:val="FontStyle26"/>
          <w:b w:val="0"/>
          <w:bCs w:val="0"/>
          <w:i/>
          <w:iCs/>
          <w:sz w:val="24"/>
          <w:szCs w:val="24"/>
          <w:lang w:val="es-ES_tradnl" w:eastAsia="es-ES_tradnl"/>
        </w:rPr>
        <w:lastRenderedPageBreak/>
        <w:t>Igualmente, no puede pasarse por alto que mientras estuvo vigente el artículo 125 del del Decreto 2649 de 1993 el Consejo Técnico de la Contaduría Pública (CTCP)</w:t>
      </w:r>
      <w:r w:rsidRPr="00C02955">
        <w:rPr>
          <w:rStyle w:val="Refdenotaalpie"/>
          <w:rFonts w:ascii="Bookman Old Style" w:hAnsi="Bookman Old Style" w:cs="Bookman Old Style"/>
          <w:i/>
          <w:iCs/>
          <w:sz w:val="24"/>
          <w:szCs w:val="24"/>
          <w:lang w:val="es-ES_tradnl" w:eastAsia="es-ES_tradnl"/>
        </w:rPr>
        <w:footnoteReference w:id="1"/>
      </w:r>
      <w:r w:rsidRPr="00C02955">
        <w:rPr>
          <w:rStyle w:val="FontStyle26"/>
          <w:b w:val="0"/>
          <w:bCs w:val="0"/>
          <w:i/>
          <w:iCs/>
          <w:sz w:val="24"/>
          <w:szCs w:val="24"/>
          <w:lang w:val="es-ES_tradnl" w:eastAsia="es-ES_tradnl"/>
        </w:rPr>
        <w:t xml:space="preserve"> explicó que el deber de llevar libros contables continuaba vigente frente a la Ley 1314 de 2009 y el Decreto Único Reglamentario número 2420 de 2015 (que compiló los decretos reglamentarios de la Ley 1314 de 2009), por cuanto “Las NIIF no se ocuparon de aspectos relacionados con registros contables, libros y soportes, pero debe entenderse que las operaciones que realice la entidad deben ser registradas en libros de contabilidad a través de los comprobantes preparados con fundamento en los soportes de origen interno y externo.”</w:t>
      </w:r>
      <w:r w:rsidRPr="00C02955">
        <w:rPr>
          <w:rStyle w:val="Refdenotaalpie"/>
          <w:rFonts w:ascii="Bookman Old Style" w:hAnsi="Bookman Old Style" w:cs="Bookman Old Style"/>
          <w:i/>
          <w:iCs/>
          <w:sz w:val="24"/>
          <w:szCs w:val="24"/>
          <w:lang w:val="es-ES_tradnl" w:eastAsia="es-ES_tradnl"/>
        </w:rPr>
        <w:footnoteReference w:id="2"/>
      </w:r>
    </w:p>
    <w:p w14:paraId="32DD412A" w14:textId="77777777" w:rsidR="0071513D" w:rsidRDefault="0071513D" w:rsidP="0071513D">
      <w:pPr>
        <w:pStyle w:val="Textoindependiente"/>
        <w:tabs>
          <w:tab w:val="left" w:pos="709"/>
        </w:tabs>
        <w:ind w:left="1416"/>
        <w:jc w:val="both"/>
        <w:rPr>
          <w:rStyle w:val="FontStyle26"/>
          <w:b w:val="0"/>
          <w:bCs w:val="0"/>
          <w:i/>
          <w:iCs/>
          <w:sz w:val="24"/>
          <w:szCs w:val="24"/>
          <w:lang w:val="es-ES_tradnl" w:eastAsia="es-ES_tradnl"/>
        </w:rPr>
      </w:pPr>
    </w:p>
    <w:p w14:paraId="20D6E110" w14:textId="0B3477C8" w:rsidR="0071513D" w:rsidRPr="0071513D" w:rsidRDefault="0071513D" w:rsidP="0071513D">
      <w:pPr>
        <w:pStyle w:val="Textoindependiente"/>
        <w:tabs>
          <w:tab w:val="left" w:pos="709"/>
        </w:tabs>
        <w:spacing w:line="360" w:lineRule="auto"/>
        <w:ind w:firstLine="709"/>
        <w:jc w:val="both"/>
        <w:rPr>
          <w:rStyle w:val="FontStyle26"/>
          <w:b w:val="0"/>
          <w:bCs w:val="0"/>
          <w:lang w:val="es-ES_tradnl" w:eastAsia="es-ES_tradnl"/>
        </w:rPr>
      </w:pPr>
      <w:r>
        <w:rPr>
          <w:rStyle w:val="FontStyle26"/>
          <w:b w:val="0"/>
          <w:bCs w:val="0"/>
          <w:lang w:val="es-ES_tradnl" w:eastAsia="es-ES_tradnl"/>
        </w:rPr>
        <w:t xml:space="preserve">Además, adujo que </w:t>
      </w:r>
      <w:r w:rsidRPr="0071513D">
        <w:rPr>
          <w:rStyle w:val="FontStyle26"/>
          <w:b w:val="0"/>
          <w:bCs w:val="0"/>
          <w:i/>
          <w:iCs/>
          <w:lang w:val="es-ES_tradnl" w:eastAsia="es-ES_tradnl"/>
        </w:rPr>
        <w:t>«los documentos que deben allegarse para acreditar la contabilidad regular de los negocios</w:t>
      </w:r>
      <w:r>
        <w:rPr>
          <w:rStyle w:val="FontStyle26"/>
          <w:b w:val="0"/>
          <w:bCs w:val="0"/>
          <w:i/>
          <w:iCs/>
          <w:lang w:val="es-ES_tradnl" w:eastAsia="es-ES_tradnl"/>
        </w:rPr>
        <w:t xml:space="preserve"> [debe ser]</w:t>
      </w:r>
      <w:r w:rsidRPr="0071513D">
        <w:rPr>
          <w:rStyle w:val="FontStyle26"/>
          <w:b w:val="0"/>
          <w:bCs w:val="0"/>
          <w:i/>
          <w:iCs/>
          <w:lang w:val="es-ES_tradnl" w:eastAsia="es-ES_tradnl"/>
        </w:rPr>
        <w:t xml:space="preserve"> conforme a las prescripciones legales vigentes, </w:t>
      </w:r>
      <w:r>
        <w:rPr>
          <w:rStyle w:val="FontStyle26"/>
          <w:b w:val="0"/>
          <w:bCs w:val="0"/>
          <w:i/>
          <w:iCs/>
          <w:lang w:val="es-ES_tradnl" w:eastAsia="es-ES_tradnl"/>
        </w:rPr>
        <w:t xml:space="preserve">[esto es, </w:t>
      </w:r>
      <w:r w:rsidRPr="0071513D">
        <w:rPr>
          <w:rStyle w:val="FontStyle26"/>
          <w:b w:val="0"/>
          <w:bCs w:val="0"/>
          <w:i/>
          <w:iCs/>
          <w:lang w:val="es-ES_tradnl" w:eastAsia="es-ES_tradnl"/>
        </w:rPr>
        <w:t xml:space="preserve">los </w:t>
      </w:r>
      <w:r w:rsidR="00467305">
        <w:rPr>
          <w:rStyle w:val="FontStyle26"/>
          <w:b w:val="0"/>
          <w:bCs w:val="0"/>
          <w:i/>
          <w:iCs/>
          <w:lang w:val="es-ES_tradnl" w:eastAsia="es-ES_tradnl"/>
        </w:rPr>
        <w:t>artículos 48 y 50 del C. de Co»</w:t>
      </w:r>
      <w:r w:rsidRPr="0071513D">
        <w:rPr>
          <w:rStyle w:val="FontStyle26"/>
          <w:b w:val="0"/>
          <w:bCs w:val="0"/>
          <w:i/>
          <w:iCs/>
          <w:lang w:val="es-ES_tradnl" w:eastAsia="es-ES_tradnl"/>
        </w:rPr>
        <w:t>,</w:t>
      </w:r>
      <w:r>
        <w:rPr>
          <w:rStyle w:val="FontStyle26"/>
          <w:b w:val="0"/>
          <w:bCs w:val="0"/>
          <w:lang w:val="es-ES_tradnl" w:eastAsia="es-ES_tradnl"/>
        </w:rPr>
        <w:t xml:space="preserve"> </w:t>
      </w:r>
      <w:r w:rsidR="0017219F">
        <w:rPr>
          <w:rStyle w:val="FontStyle26"/>
          <w:b w:val="0"/>
          <w:bCs w:val="0"/>
          <w:lang w:val="es-ES_tradnl" w:eastAsia="es-ES_tradnl"/>
        </w:rPr>
        <w:t>disposiciones que</w:t>
      </w:r>
      <w:r>
        <w:rPr>
          <w:rStyle w:val="FontStyle26"/>
          <w:b w:val="0"/>
          <w:bCs w:val="0"/>
          <w:lang w:val="es-ES_tradnl" w:eastAsia="es-ES_tradnl"/>
        </w:rPr>
        <w:t xml:space="preserve"> hacen referencia a la «</w:t>
      </w:r>
      <w:r w:rsidRPr="0071513D">
        <w:rPr>
          <w:rStyle w:val="FontStyle26"/>
          <w:b w:val="0"/>
          <w:bCs w:val="0"/>
          <w:i/>
          <w:iCs/>
          <w:lang w:val="es-ES_tradnl" w:eastAsia="es-ES_tradnl"/>
        </w:rPr>
        <w:t>conformidad de libros y papeles del comerciante a las normas comerciales – medios para el asiento de operaciones»</w:t>
      </w:r>
      <w:r>
        <w:rPr>
          <w:rStyle w:val="FontStyle26"/>
          <w:b w:val="0"/>
          <w:bCs w:val="0"/>
          <w:lang w:val="es-ES_tradnl" w:eastAsia="es-ES_tradnl"/>
        </w:rPr>
        <w:t xml:space="preserve"> y los </w:t>
      </w:r>
      <w:r w:rsidRPr="0071513D">
        <w:rPr>
          <w:rStyle w:val="FontStyle26"/>
          <w:b w:val="0"/>
          <w:bCs w:val="0"/>
          <w:i/>
          <w:iCs/>
          <w:lang w:val="es-ES_tradnl" w:eastAsia="es-ES_tradnl"/>
        </w:rPr>
        <w:t>«requisitos de contabilidad»</w:t>
      </w:r>
      <w:r>
        <w:rPr>
          <w:rStyle w:val="FontStyle26"/>
          <w:b w:val="0"/>
          <w:bCs w:val="0"/>
          <w:lang w:val="es-ES_tradnl" w:eastAsia="es-ES_tradnl"/>
        </w:rPr>
        <w:t>, respectivamente.</w:t>
      </w:r>
    </w:p>
    <w:p w14:paraId="24713539" w14:textId="2613A27A" w:rsidR="008B7384" w:rsidRPr="00C02955" w:rsidRDefault="008B7384" w:rsidP="00C02955">
      <w:pPr>
        <w:pStyle w:val="Textoindependiente"/>
        <w:tabs>
          <w:tab w:val="left" w:pos="709"/>
        </w:tabs>
        <w:spacing w:after="0"/>
        <w:ind w:left="1416"/>
        <w:jc w:val="both"/>
        <w:rPr>
          <w:rStyle w:val="FontStyle26"/>
          <w:b w:val="0"/>
          <w:bCs w:val="0"/>
          <w:i/>
          <w:iCs/>
          <w:sz w:val="24"/>
          <w:szCs w:val="24"/>
          <w:lang w:val="es-ES_tradnl" w:eastAsia="es-ES_tradnl"/>
        </w:rPr>
      </w:pPr>
    </w:p>
    <w:p w14:paraId="5A4CE2D5" w14:textId="2FDA0418" w:rsidR="008B7384" w:rsidRDefault="00526D4E" w:rsidP="00205AE3">
      <w:pPr>
        <w:pStyle w:val="Textoindependiente"/>
        <w:tabs>
          <w:tab w:val="left" w:pos="709"/>
        </w:tabs>
        <w:spacing w:after="0" w:line="360" w:lineRule="auto"/>
        <w:ind w:firstLine="709"/>
        <w:jc w:val="both"/>
        <w:rPr>
          <w:rFonts w:ascii="Bookman Old Style" w:hAnsi="Bookman Old Style"/>
          <w:sz w:val="28"/>
          <w:szCs w:val="28"/>
        </w:rPr>
      </w:pPr>
      <w:r>
        <w:rPr>
          <w:rFonts w:ascii="Bookman Old Style" w:hAnsi="Bookman Old Style"/>
          <w:sz w:val="28"/>
          <w:szCs w:val="28"/>
        </w:rPr>
        <w:t xml:space="preserve">En ese </w:t>
      </w:r>
      <w:r w:rsidR="00C23E4E">
        <w:rPr>
          <w:rFonts w:ascii="Bookman Old Style" w:hAnsi="Bookman Old Style"/>
          <w:sz w:val="28"/>
          <w:szCs w:val="28"/>
        </w:rPr>
        <w:t xml:space="preserve">mismo </w:t>
      </w:r>
      <w:r>
        <w:rPr>
          <w:rFonts w:ascii="Bookman Old Style" w:hAnsi="Bookman Old Style"/>
          <w:sz w:val="28"/>
          <w:szCs w:val="28"/>
        </w:rPr>
        <w:t xml:space="preserve">sentido </w:t>
      </w:r>
      <w:r w:rsidR="00205AE3">
        <w:rPr>
          <w:rFonts w:ascii="Bookman Old Style" w:hAnsi="Bookman Old Style"/>
          <w:sz w:val="28"/>
          <w:szCs w:val="28"/>
        </w:rPr>
        <w:t>aseveró que</w:t>
      </w:r>
      <w:r w:rsidR="00025589">
        <w:rPr>
          <w:rFonts w:ascii="Bookman Old Style" w:hAnsi="Bookman Old Style"/>
          <w:sz w:val="28"/>
          <w:szCs w:val="28"/>
        </w:rPr>
        <w:t>,</w:t>
      </w:r>
      <w:r w:rsidR="00205AE3">
        <w:rPr>
          <w:rFonts w:ascii="Bookman Old Style" w:hAnsi="Bookman Old Style"/>
          <w:sz w:val="28"/>
          <w:szCs w:val="28"/>
        </w:rPr>
        <w:t xml:space="preserve"> </w:t>
      </w:r>
    </w:p>
    <w:p w14:paraId="1D590897" w14:textId="7BAB37D5" w:rsidR="00205AE3" w:rsidRDefault="00205AE3" w:rsidP="00205AE3">
      <w:pPr>
        <w:pStyle w:val="Textoindependiente"/>
        <w:tabs>
          <w:tab w:val="left" w:pos="709"/>
        </w:tabs>
        <w:spacing w:after="0" w:line="360" w:lineRule="auto"/>
        <w:ind w:firstLine="709"/>
        <w:jc w:val="both"/>
        <w:rPr>
          <w:rFonts w:ascii="Bookman Old Style" w:hAnsi="Bookman Old Style"/>
          <w:sz w:val="28"/>
          <w:szCs w:val="28"/>
        </w:rPr>
      </w:pPr>
    </w:p>
    <w:p w14:paraId="238F626C" w14:textId="43D1E048" w:rsidR="00205AE3" w:rsidRPr="00205AE3" w:rsidRDefault="00025589" w:rsidP="00205AE3">
      <w:pPr>
        <w:pStyle w:val="Textoindependiente"/>
        <w:tabs>
          <w:tab w:val="left" w:pos="709"/>
        </w:tabs>
        <w:ind w:left="708"/>
        <w:jc w:val="both"/>
        <w:rPr>
          <w:rStyle w:val="FontStyle26"/>
          <w:b w:val="0"/>
          <w:bCs w:val="0"/>
          <w:i/>
          <w:iCs/>
          <w:sz w:val="24"/>
          <w:szCs w:val="24"/>
          <w:lang w:val="es-ES_tradnl" w:eastAsia="es-ES_tradnl"/>
        </w:rPr>
      </w:pPr>
      <w:r>
        <w:rPr>
          <w:rStyle w:val="FontStyle26"/>
          <w:b w:val="0"/>
          <w:bCs w:val="0"/>
          <w:i/>
          <w:iCs/>
          <w:sz w:val="24"/>
          <w:szCs w:val="24"/>
          <w:lang w:val="es-ES_tradnl" w:eastAsia="es-ES_tradnl"/>
        </w:rPr>
        <w:t>(…) [r]</w:t>
      </w:r>
      <w:r w:rsidR="00205AE3" w:rsidRPr="00205AE3">
        <w:rPr>
          <w:rStyle w:val="FontStyle26"/>
          <w:b w:val="0"/>
          <w:bCs w:val="0"/>
          <w:i/>
          <w:iCs/>
          <w:sz w:val="24"/>
          <w:szCs w:val="24"/>
          <w:lang w:val="es-ES_tradnl" w:eastAsia="es-ES_tradnl"/>
        </w:rPr>
        <w:t>especto al caso objeto de estudio señala el artículo 10 de la Ley 1116 de 2006, que:</w:t>
      </w:r>
    </w:p>
    <w:p w14:paraId="3FCF6CF2" w14:textId="7203D2DD"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“La solicitud de inicio del proceso de reorganización deberá presentarse acompañada de los documentos que acrediten, además de los supuestos de cesación de pagos o de incapacidad de pago inminente, el cumplimiento de los siguientes requisitos:</w:t>
      </w:r>
    </w:p>
    <w:p w14:paraId="152F4693" w14:textId="5969A90E"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 2. Llevar contabilidad regular de sus negocios conforme a las prescripciones legales.”</w:t>
      </w:r>
    </w:p>
    <w:p w14:paraId="744210E5" w14:textId="77777777"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p>
    <w:p w14:paraId="7DB29AD0" w14:textId="77777777"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lastRenderedPageBreak/>
        <w:t>A su vez, el artículo 13 ibidem dispone que:</w:t>
      </w:r>
    </w:p>
    <w:p w14:paraId="1F3C84CF" w14:textId="7C8D2E0C"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“La solicitud de inicio del proceso de reorganización por parte del deudor o de este y sus acreedores deberá venir acompañada de tos &lt;sic&gt; siguientes documentos:</w:t>
      </w:r>
    </w:p>
    <w:p w14:paraId="162D1C0F" w14:textId="1AA94AC8"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1. &lt;Numeral modificado por el artículo 33 de la Ley 1429 de 2010. El nuevo texto es el siguiente:&gt; Los cinco (5) estados financieros básicos correspondientes a los tres (3) últimos ejercicios y los dictámenes respectivos, si existieren, suscritos por Contador Público o Revisor Fiscal, según sea el caso, salvo que el deudor, con anterioridad, hubiere remitido a la Superintendencia tales estados financieros en las condiciones indicadas, en cuyo caso, la Superintendencia los allegará al proceso para los fines pertinentes.</w:t>
      </w:r>
    </w:p>
    <w:p w14:paraId="70EC5168" w14:textId="77777777"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p>
    <w:p w14:paraId="5B9A35B4" w14:textId="6BA69699"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Seguidamente, el artículo 14 ibidem dispone que:</w:t>
      </w:r>
    </w:p>
    <w:p w14:paraId="75C61203" w14:textId="2E548FE6"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Recibida la solicitud de inicio de un proceso de reorganización, el juez del concurso verificará el cumplimiento de los supuestos y requisitos legales necesarios para su presentación y trámite, y si está ajustada a la ley, la aceptará dentro de los tres (3) días siguientes a su presentación. Si falta información exigida, el Juez del Concurso requerirá mediante oficio al solicitante para que, dentro de los diez (10) días siguientes, complete lo que haga falta o rinda las explicaciones a que haya lugar. Este requerimiento interrumpirá los términos para que las autoridades competentes decidan. Desde la fecha en que el interesado aporte nuevos documentos e informaciones para satisfacer el requerimiento, comenzarán a correr otra vez los términos.</w:t>
      </w:r>
    </w:p>
    <w:p w14:paraId="0EE982DC" w14:textId="7F72C0E3" w:rsidR="00205AE3" w:rsidRPr="00205AE3" w:rsidRDefault="00205AE3" w:rsidP="00205AE3">
      <w:pPr>
        <w:pStyle w:val="Textoindependiente"/>
        <w:tabs>
          <w:tab w:val="left" w:pos="709"/>
        </w:tabs>
        <w:ind w:left="708"/>
        <w:jc w:val="both"/>
        <w:rPr>
          <w:rStyle w:val="FontStyle26"/>
          <w:b w:val="0"/>
          <w:bCs w:val="0"/>
          <w:i/>
          <w:iCs/>
          <w:sz w:val="24"/>
          <w:szCs w:val="24"/>
          <w:lang w:val="es-ES_tradnl" w:eastAsia="es-ES_tradnl"/>
        </w:rPr>
      </w:pPr>
      <w:r w:rsidRPr="00205AE3">
        <w:rPr>
          <w:rStyle w:val="FontStyle26"/>
          <w:b w:val="0"/>
          <w:bCs w:val="0"/>
          <w:i/>
          <w:iCs/>
          <w:sz w:val="24"/>
          <w:szCs w:val="24"/>
          <w:lang w:val="es-ES_tradnl" w:eastAsia="es-ES_tradnl"/>
        </w:rPr>
        <w:t>Cuando el requerimiento no sea respondido oportunamente o la respuesta no contenga las informaciones o explicaciones pedidas, será rechazada la solicitud.</w:t>
      </w:r>
    </w:p>
    <w:p w14:paraId="2625BC3B" w14:textId="10B2D93C" w:rsidR="00205AE3" w:rsidRDefault="00205AE3" w:rsidP="00205AE3">
      <w:pPr>
        <w:pStyle w:val="Textoindependiente"/>
        <w:tabs>
          <w:tab w:val="left" w:pos="709"/>
        </w:tabs>
        <w:spacing w:line="360" w:lineRule="auto"/>
        <w:jc w:val="both"/>
        <w:rPr>
          <w:rStyle w:val="FontStyle26"/>
          <w:b w:val="0"/>
          <w:bCs w:val="0"/>
          <w:lang w:val="es-ES_tradnl" w:eastAsia="es-ES_tradnl"/>
        </w:rPr>
      </w:pPr>
    </w:p>
    <w:p w14:paraId="46110B83" w14:textId="1B2EE751" w:rsidR="00526D4E" w:rsidRDefault="00526D4E" w:rsidP="00995919">
      <w:pPr>
        <w:pStyle w:val="Textoindependiente"/>
        <w:tabs>
          <w:tab w:val="left" w:pos="709"/>
        </w:tabs>
        <w:spacing w:after="0" w:line="360" w:lineRule="auto"/>
        <w:ind w:firstLine="709"/>
        <w:jc w:val="both"/>
        <w:rPr>
          <w:rStyle w:val="FontStyle26"/>
          <w:b w:val="0"/>
          <w:bCs w:val="0"/>
          <w:lang w:val="es-ES_tradnl" w:eastAsia="es-ES_tradnl"/>
        </w:rPr>
      </w:pPr>
      <w:r>
        <w:rPr>
          <w:rStyle w:val="FontStyle26"/>
          <w:b w:val="0"/>
          <w:bCs w:val="0"/>
          <w:lang w:val="es-ES_tradnl" w:eastAsia="es-ES_tradnl"/>
        </w:rPr>
        <w:t xml:space="preserve">De ahí que concluyó que </w:t>
      </w:r>
    </w:p>
    <w:p w14:paraId="1833628A" w14:textId="77777777" w:rsidR="00526D4E" w:rsidRDefault="00526D4E" w:rsidP="00995919">
      <w:pPr>
        <w:pStyle w:val="Textoindependiente"/>
        <w:tabs>
          <w:tab w:val="left" w:pos="709"/>
        </w:tabs>
        <w:spacing w:after="0" w:line="360" w:lineRule="auto"/>
        <w:ind w:firstLine="709"/>
        <w:jc w:val="both"/>
        <w:rPr>
          <w:rStyle w:val="FontStyle26"/>
          <w:b w:val="0"/>
          <w:bCs w:val="0"/>
          <w:lang w:val="es-ES_tradnl" w:eastAsia="es-ES_tradnl"/>
        </w:rPr>
      </w:pPr>
    </w:p>
    <w:p w14:paraId="61154222" w14:textId="4C74BD75" w:rsidR="00526D4E" w:rsidRPr="00ED74EF" w:rsidRDefault="00526D4E" w:rsidP="00526D4E">
      <w:pPr>
        <w:pStyle w:val="Textoindependiente"/>
        <w:tabs>
          <w:tab w:val="left" w:pos="709"/>
        </w:tabs>
        <w:ind w:left="708"/>
        <w:jc w:val="both"/>
        <w:rPr>
          <w:rStyle w:val="FontStyle26"/>
          <w:b w:val="0"/>
          <w:bCs w:val="0"/>
          <w:sz w:val="24"/>
          <w:szCs w:val="24"/>
          <w:lang w:val="es-ES_tradnl" w:eastAsia="es-ES_tradnl"/>
        </w:rPr>
      </w:pPr>
      <w:r>
        <w:rPr>
          <w:rStyle w:val="FontStyle26"/>
          <w:b w:val="0"/>
          <w:bCs w:val="0"/>
          <w:i/>
          <w:iCs/>
          <w:sz w:val="24"/>
          <w:szCs w:val="24"/>
          <w:lang w:val="es-ES_tradnl" w:eastAsia="es-ES_tradnl"/>
        </w:rPr>
        <w:t xml:space="preserve">(…) </w:t>
      </w:r>
      <w:r w:rsidRPr="00526D4E">
        <w:rPr>
          <w:rStyle w:val="FontStyle26"/>
          <w:b w:val="0"/>
          <w:bCs w:val="0"/>
          <w:i/>
          <w:iCs/>
          <w:sz w:val="24"/>
          <w:szCs w:val="24"/>
          <w:lang w:val="es-ES_tradnl" w:eastAsia="es-ES_tradnl"/>
        </w:rPr>
        <w:t xml:space="preserve">contrario a lo señalado por el </w:t>
      </w:r>
      <w:proofErr w:type="spellStart"/>
      <w:r w:rsidRPr="00526D4E">
        <w:rPr>
          <w:rStyle w:val="FontStyle26"/>
          <w:b w:val="0"/>
          <w:bCs w:val="0"/>
          <w:i/>
          <w:iCs/>
          <w:sz w:val="24"/>
          <w:szCs w:val="24"/>
          <w:lang w:val="es-ES_tradnl" w:eastAsia="es-ES_tradnl"/>
        </w:rPr>
        <w:t>repocisionista</w:t>
      </w:r>
      <w:proofErr w:type="spellEnd"/>
      <w:r w:rsidRPr="00526D4E">
        <w:rPr>
          <w:rStyle w:val="FontStyle26"/>
          <w:b w:val="0"/>
          <w:bCs w:val="0"/>
          <w:i/>
          <w:iCs/>
          <w:sz w:val="24"/>
          <w:szCs w:val="24"/>
          <w:lang w:val="es-ES_tradnl" w:eastAsia="es-ES_tradnl"/>
        </w:rPr>
        <w:t xml:space="preserve">, el deber de llevar los libros de contabilidad continua vigente, por lo que para iniciar el proceso de reorganización de referencia, debió adjuntarse como anexo de la demanda, </w:t>
      </w:r>
      <w:r w:rsidRPr="00F246FE">
        <w:rPr>
          <w:rStyle w:val="FontStyle26"/>
          <w:b w:val="0"/>
          <w:bCs w:val="0"/>
          <w:i/>
          <w:iCs/>
          <w:sz w:val="24"/>
          <w:szCs w:val="24"/>
          <w:u w:val="single"/>
          <w:lang w:val="es-ES_tradnl" w:eastAsia="es-ES_tradnl"/>
        </w:rPr>
        <w:t>no solo los estados financieros básicos correspondientes a los tres (3) últimos ejercicios, sino también los libros de comercio en el que conste el ejercicio comercial de quien pretende someterse al régimen de insolvencia</w:t>
      </w:r>
      <w:r w:rsidRPr="00526D4E">
        <w:rPr>
          <w:rStyle w:val="FontStyle26"/>
          <w:b w:val="0"/>
          <w:bCs w:val="0"/>
          <w:i/>
          <w:iCs/>
          <w:sz w:val="24"/>
          <w:szCs w:val="24"/>
          <w:lang w:val="es-ES_tradnl" w:eastAsia="es-ES_tradnl"/>
        </w:rPr>
        <w:t>; documentos que fueron requeridos en la inadmisión de la demanda y que no fueron allegados dentro de la oportunidad procesal correspondiente.</w:t>
      </w:r>
      <w:r w:rsidR="00ED74EF">
        <w:rPr>
          <w:rStyle w:val="FontStyle26"/>
          <w:b w:val="0"/>
          <w:bCs w:val="0"/>
          <w:sz w:val="24"/>
          <w:szCs w:val="24"/>
          <w:lang w:val="es-ES_tradnl" w:eastAsia="es-ES_tradnl"/>
        </w:rPr>
        <w:t xml:space="preserve"> </w:t>
      </w:r>
      <w:r w:rsidR="00BC08AF">
        <w:rPr>
          <w:rStyle w:val="FontStyle26"/>
          <w:b w:val="0"/>
          <w:bCs w:val="0"/>
          <w:sz w:val="24"/>
          <w:szCs w:val="24"/>
          <w:lang w:val="es-ES_tradnl" w:eastAsia="es-ES_tradnl"/>
        </w:rPr>
        <w:t>(</w:t>
      </w:r>
      <w:r w:rsidR="00ED74EF" w:rsidRPr="00ED74EF">
        <w:rPr>
          <w:rStyle w:val="FontStyle26"/>
          <w:b w:val="0"/>
          <w:bCs w:val="0"/>
          <w:lang w:val="es-ES_tradnl" w:eastAsia="es-ES_tradnl"/>
        </w:rPr>
        <w:t>Subrayas fuera ajenas al texto</w:t>
      </w:r>
      <w:r w:rsidR="00BC08AF">
        <w:rPr>
          <w:rStyle w:val="FontStyle26"/>
          <w:b w:val="0"/>
          <w:bCs w:val="0"/>
          <w:lang w:val="es-ES_tradnl" w:eastAsia="es-ES_tradnl"/>
        </w:rPr>
        <w:t>)</w:t>
      </w:r>
    </w:p>
    <w:p w14:paraId="34643C6B" w14:textId="77777777" w:rsidR="006C2661" w:rsidRPr="000355D2" w:rsidRDefault="006C2661" w:rsidP="000355D2">
      <w:pPr>
        <w:autoSpaceDE w:val="0"/>
        <w:autoSpaceDN w:val="0"/>
        <w:adjustRightInd w:val="0"/>
        <w:spacing w:line="360" w:lineRule="auto"/>
        <w:ind w:left="708"/>
        <w:jc w:val="both"/>
        <w:rPr>
          <w:rFonts w:ascii="Bookman Old Style" w:eastAsia="Calibri" w:hAnsi="Bookman Old Style" w:cs="Arial"/>
          <w:sz w:val="28"/>
          <w:szCs w:val="28"/>
        </w:rPr>
      </w:pPr>
    </w:p>
    <w:p w14:paraId="403B6504" w14:textId="7FE09EEA" w:rsidR="003B564C" w:rsidRDefault="00F211C7" w:rsidP="000355D2">
      <w:pPr>
        <w:autoSpaceDE w:val="0"/>
        <w:autoSpaceDN w:val="0"/>
        <w:adjustRightInd w:val="0"/>
        <w:spacing w:line="360" w:lineRule="auto"/>
        <w:ind w:firstLine="709"/>
        <w:jc w:val="both"/>
        <w:rPr>
          <w:rFonts w:ascii="Bookman Old Style" w:eastAsia="Calibri" w:hAnsi="Bookman Old Style" w:cs="Arial"/>
          <w:sz w:val="28"/>
          <w:szCs w:val="28"/>
        </w:rPr>
      </w:pPr>
      <w:r>
        <w:rPr>
          <w:rFonts w:ascii="Bookman Old Style" w:eastAsia="Calibri" w:hAnsi="Bookman Old Style" w:cs="Arial"/>
          <w:sz w:val="28"/>
          <w:szCs w:val="28"/>
        </w:rPr>
        <w:t xml:space="preserve">En este orden de ideas, debe colegirse que </w:t>
      </w:r>
      <w:r w:rsidR="00A37021">
        <w:rPr>
          <w:rFonts w:ascii="Bookman Old Style" w:eastAsia="Calibri" w:hAnsi="Bookman Old Style" w:cs="Arial"/>
          <w:sz w:val="28"/>
          <w:szCs w:val="28"/>
        </w:rPr>
        <w:t>la decisión reprochada</w:t>
      </w:r>
      <w:r w:rsidR="0088363B">
        <w:rPr>
          <w:rFonts w:ascii="Bookman Old Style" w:eastAsia="Calibri" w:hAnsi="Bookman Old Style" w:cs="Arial"/>
          <w:sz w:val="28"/>
          <w:szCs w:val="28"/>
        </w:rPr>
        <w:t xml:space="preserve"> </w:t>
      </w:r>
      <w:r w:rsidR="00D65F9F">
        <w:rPr>
          <w:rFonts w:ascii="Bookman Old Style" w:eastAsia="Calibri" w:hAnsi="Bookman Old Style" w:cs="Arial"/>
          <w:sz w:val="28"/>
          <w:szCs w:val="28"/>
        </w:rPr>
        <w:t xml:space="preserve">dedujo </w:t>
      </w:r>
      <w:r w:rsidR="0088363B">
        <w:rPr>
          <w:rFonts w:ascii="Bookman Old Style" w:eastAsia="Calibri" w:hAnsi="Bookman Old Style" w:cs="Arial"/>
          <w:sz w:val="28"/>
          <w:szCs w:val="28"/>
        </w:rPr>
        <w:t xml:space="preserve">que el accionante </w:t>
      </w:r>
      <w:r w:rsidR="000355D2">
        <w:rPr>
          <w:rFonts w:ascii="Bookman Old Style" w:eastAsia="Calibri" w:hAnsi="Bookman Old Style" w:cs="Arial"/>
          <w:sz w:val="28"/>
          <w:szCs w:val="28"/>
        </w:rPr>
        <w:t>no subsanó</w:t>
      </w:r>
      <w:r w:rsidR="00526D4E">
        <w:rPr>
          <w:rFonts w:ascii="Bookman Old Style" w:eastAsia="Calibri" w:hAnsi="Bookman Old Style" w:cs="Arial"/>
          <w:sz w:val="28"/>
          <w:szCs w:val="28"/>
        </w:rPr>
        <w:t xml:space="preserve"> en su totalidad </w:t>
      </w:r>
      <w:r w:rsidR="008E1F5E">
        <w:rPr>
          <w:rFonts w:ascii="Bookman Old Style" w:eastAsia="Calibri" w:hAnsi="Bookman Old Style" w:cs="Arial"/>
          <w:sz w:val="28"/>
          <w:szCs w:val="28"/>
        </w:rPr>
        <w:t xml:space="preserve">el requerimiento n° 3, efectuado </w:t>
      </w:r>
      <w:r w:rsidR="00526D4E">
        <w:rPr>
          <w:rFonts w:ascii="Bookman Old Style" w:eastAsia="Calibri" w:hAnsi="Bookman Old Style" w:cs="Arial"/>
          <w:sz w:val="28"/>
          <w:szCs w:val="28"/>
        </w:rPr>
        <w:t xml:space="preserve">en el auto </w:t>
      </w:r>
      <w:r w:rsidR="000355D2">
        <w:rPr>
          <w:rFonts w:ascii="Bookman Old Style" w:eastAsia="Calibri" w:hAnsi="Bookman Old Style" w:cs="Arial"/>
          <w:sz w:val="28"/>
          <w:szCs w:val="28"/>
        </w:rPr>
        <w:t>admisorio</w:t>
      </w:r>
      <w:r w:rsidR="00526D4E">
        <w:rPr>
          <w:rFonts w:ascii="Bookman Old Style" w:eastAsia="Calibri" w:hAnsi="Bookman Old Style" w:cs="Arial"/>
          <w:sz w:val="28"/>
          <w:szCs w:val="28"/>
        </w:rPr>
        <w:t xml:space="preserve">, </w:t>
      </w:r>
      <w:r w:rsidR="000355D2">
        <w:rPr>
          <w:rFonts w:ascii="Bookman Old Style" w:eastAsia="Calibri" w:hAnsi="Bookman Old Style" w:cs="Arial"/>
          <w:sz w:val="28"/>
          <w:szCs w:val="28"/>
        </w:rPr>
        <w:t xml:space="preserve">ya que no </w:t>
      </w:r>
      <w:r w:rsidR="000355D2">
        <w:rPr>
          <w:rFonts w:ascii="Bookman Old Style" w:eastAsia="Calibri" w:hAnsi="Bookman Old Style" w:cs="Arial"/>
          <w:sz w:val="28"/>
          <w:szCs w:val="28"/>
        </w:rPr>
        <w:lastRenderedPageBreak/>
        <w:t xml:space="preserve">aportó </w:t>
      </w:r>
      <w:r w:rsidR="000355D2" w:rsidRPr="000355D2">
        <w:rPr>
          <w:rFonts w:ascii="Bookman Old Style" w:eastAsia="Calibri" w:hAnsi="Bookman Old Style" w:cs="Arial"/>
          <w:sz w:val="28"/>
          <w:szCs w:val="28"/>
        </w:rPr>
        <w:t xml:space="preserve">los documentos </w:t>
      </w:r>
      <w:r w:rsidR="000355D2">
        <w:rPr>
          <w:rFonts w:ascii="Bookman Old Style" w:eastAsia="Calibri" w:hAnsi="Bookman Old Style" w:cs="Arial"/>
          <w:sz w:val="28"/>
          <w:szCs w:val="28"/>
        </w:rPr>
        <w:t>que daban cu</w:t>
      </w:r>
      <w:r w:rsidR="00F31AA8">
        <w:rPr>
          <w:rFonts w:ascii="Bookman Old Style" w:eastAsia="Calibri" w:hAnsi="Bookman Old Style" w:cs="Arial"/>
          <w:sz w:val="28"/>
          <w:szCs w:val="28"/>
        </w:rPr>
        <w:t>e</w:t>
      </w:r>
      <w:r w:rsidR="000355D2">
        <w:rPr>
          <w:rFonts w:ascii="Bookman Old Style" w:eastAsia="Calibri" w:hAnsi="Bookman Old Style" w:cs="Arial"/>
          <w:sz w:val="28"/>
          <w:szCs w:val="28"/>
        </w:rPr>
        <w:t xml:space="preserve">nta de la </w:t>
      </w:r>
      <w:r w:rsidR="000355D2" w:rsidRPr="000355D2">
        <w:rPr>
          <w:rFonts w:ascii="Bookman Old Style" w:eastAsia="Calibri" w:hAnsi="Bookman Old Style" w:cs="Arial"/>
          <w:sz w:val="28"/>
          <w:szCs w:val="28"/>
        </w:rPr>
        <w:t>contabilidad regular de sus</w:t>
      </w:r>
      <w:r w:rsidR="000355D2">
        <w:rPr>
          <w:rFonts w:ascii="Bookman Old Style" w:eastAsia="Calibri" w:hAnsi="Bookman Old Style" w:cs="Arial"/>
          <w:sz w:val="28"/>
          <w:szCs w:val="28"/>
        </w:rPr>
        <w:t xml:space="preserve"> </w:t>
      </w:r>
      <w:r w:rsidR="000355D2" w:rsidRPr="000355D2">
        <w:rPr>
          <w:rFonts w:ascii="Bookman Old Style" w:eastAsia="Calibri" w:hAnsi="Bookman Old Style" w:cs="Arial"/>
          <w:sz w:val="28"/>
          <w:szCs w:val="28"/>
        </w:rPr>
        <w:t>negocios</w:t>
      </w:r>
      <w:r w:rsidR="00025589">
        <w:rPr>
          <w:rFonts w:ascii="Bookman Old Style" w:eastAsia="Calibri" w:hAnsi="Bookman Old Style" w:cs="Arial"/>
          <w:sz w:val="28"/>
          <w:szCs w:val="28"/>
        </w:rPr>
        <w:t>,</w:t>
      </w:r>
      <w:r w:rsidR="000355D2" w:rsidRPr="000355D2">
        <w:rPr>
          <w:rFonts w:ascii="Bookman Old Style" w:eastAsia="Calibri" w:hAnsi="Bookman Old Style" w:cs="Arial"/>
          <w:sz w:val="28"/>
          <w:szCs w:val="28"/>
        </w:rPr>
        <w:t xml:space="preserve"> </w:t>
      </w:r>
      <w:r w:rsidR="000355D2">
        <w:rPr>
          <w:rFonts w:ascii="Bookman Old Style" w:eastAsia="Calibri" w:hAnsi="Bookman Old Style" w:cs="Arial"/>
          <w:sz w:val="28"/>
          <w:szCs w:val="28"/>
        </w:rPr>
        <w:t>no solamente conforme</w:t>
      </w:r>
      <w:r w:rsidR="00467305">
        <w:rPr>
          <w:rFonts w:ascii="Bookman Old Style" w:eastAsia="Calibri" w:hAnsi="Bookman Old Style" w:cs="Arial"/>
          <w:sz w:val="28"/>
          <w:szCs w:val="28"/>
        </w:rPr>
        <w:t xml:space="preserve"> al artículo </w:t>
      </w:r>
      <w:r w:rsidR="00467305" w:rsidRPr="00F93364">
        <w:rPr>
          <w:rStyle w:val="FontStyle26"/>
          <w:b w:val="0"/>
          <w:bCs w:val="0"/>
          <w:lang w:val="es-ES_tradnl" w:eastAsia="es-ES_tradnl"/>
        </w:rPr>
        <w:t>125 del Decreto 2649 de 1993</w:t>
      </w:r>
      <w:r w:rsidR="00467305">
        <w:rPr>
          <w:rStyle w:val="FontStyle26"/>
          <w:b w:val="0"/>
          <w:bCs w:val="0"/>
          <w:lang w:val="es-ES_tradnl" w:eastAsia="es-ES_tradnl"/>
        </w:rPr>
        <w:t xml:space="preserve">, </w:t>
      </w:r>
      <w:r w:rsidR="000355D2">
        <w:rPr>
          <w:rFonts w:ascii="Bookman Old Style" w:eastAsia="Calibri" w:hAnsi="Bookman Old Style" w:cs="Arial"/>
          <w:sz w:val="28"/>
          <w:szCs w:val="28"/>
        </w:rPr>
        <w:t xml:space="preserve">al </w:t>
      </w:r>
      <w:r w:rsidR="00467305">
        <w:rPr>
          <w:rFonts w:ascii="Bookman Old Style" w:eastAsia="Calibri" w:hAnsi="Bookman Old Style" w:cs="Arial"/>
          <w:sz w:val="28"/>
          <w:szCs w:val="28"/>
        </w:rPr>
        <w:t>canon</w:t>
      </w:r>
      <w:r w:rsidR="000355D2" w:rsidRPr="000355D2">
        <w:rPr>
          <w:rFonts w:ascii="Bookman Old Style" w:eastAsia="Calibri" w:hAnsi="Bookman Old Style" w:cs="Arial"/>
          <w:sz w:val="28"/>
          <w:szCs w:val="28"/>
        </w:rPr>
        <w:t xml:space="preserve"> </w:t>
      </w:r>
      <w:r w:rsidR="0014554C">
        <w:rPr>
          <w:rFonts w:ascii="Bookman Old Style" w:eastAsia="Calibri" w:hAnsi="Bookman Old Style" w:cs="Arial"/>
          <w:sz w:val="28"/>
          <w:szCs w:val="28"/>
        </w:rPr>
        <w:t xml:space="preserve">8º del anexo técnico No. 6 </w:t>
      </w:r>
      <w:r w:rsidR="000355D2" w:rsidRPr="000355D2">
        <w:rPr>
          <w:rFonts w:ascii="Bookman Old Style" w:eastAsia="Calibri" w:hAnsi="Bookman Old Style" w:cs="Arial"/>
          <w:sz w:val="28"/>
          <w:szCs w:val="28"/>
        </w:rPr>
        <w:t xml:space="preserve">del </w:t>
      </w:r>
      <w:r w:rsidR="0014554C" w:rsidRPr="0014554C">
        <w:rPr>
          <w:rFonts w:ascii="Bookman Old Style" w:eastAsia="Calibri" w:hAnsi="Bookman Old Style" w:cs="Arial"/>
          <w:sz w:val="28"/>
          <w:szCs w:val="28"/>
        </w:rPr>
        <w:t>Decreto 2270 de 2019</w:t>
      </w:r>
      <w:r w:rsidR="000355D2">
        <w:rPr>
          <w:rFonts w:ascii="Bookman Old Style" w:eastAsia="Calibri" w:hAnsi="Bookman Old Style" w:cs="Arial"/>
          <w:sz w:val="28"/>
          <w:szCs w:val="28"/>
        </w:rPr>
        <w:t xml:space="preserve">, sino también por incumplir las exigencias </w:t>
      </w:r>
      <w:r w:rsidR="003B564C">
        <w:rPr>
          <w:rFonts w:ascii="Bookman Old Style" w:eastAsia="Calibri" w:hAnsi="Bookman Old Style" w:cs="Arial"/>
          <w:sz w:val="28"/>
          <w:szCs w:val="28"/>
        </w:rPr>
        <w:t xml:space="preserve">de los preceptos </w:t>
      </w:r>
      <w:r w:rsidR="000355D2" w:rsidRPr="000355D2">
        <w:rPr>
          <w:rFonts w:ascii="Bookman Old Style" w:eastAsia="Calibri" w:hAnsi="Bookman Old Style" w:cs="Arial"/>
          <w:sz w:val="28"/>
          <w:szCs w:val="28"/>
        </w:rPr>
        <w:t>48 y 50 del C</w:t>
      </w:r>
      <w:r w:rsidR="003B564C">
        <w:rPr>
          <w:rFonts w:ascii="Bookman Old Style" w:eastAsia="Calibri" w:hAnsi="Bookman Old Style" w:cs="Arial"/>
          <w:sz w:val="28"/>
          <w:szCs w:val="28"/>
        </w:rPr>
        <w:t>ódigo de Comercio</w:t>
      </w:r>
      <w:r w:rsidR="00BE2FCE">
        <w:rPr>
          <w:rFonts w:ascii="Bookman Old Style" w:eastAsia="Calibri" w:hAnsi="Bookman Old Style" w:cs="Arial"/>
          <w:sz w:val="28"/>
          <w:szCs w:val="28"/>
        </w:rPr>
        <w:t xml:space="preserve"> y </w:t>
      </w:r>
      <w:r w:rsidR="0014554C">
        <w:rPr>
          <w:rFonts w:ascii="Bookman Old Style" w:eastAsia="Calibri" w:hAnsi="Bookman Old Style" w:cs="Arial"/>
          <w:sz w:val="28"/>
          <w:szCs w:val="28"/>
        </w:rPr>
        <w:t>cánones</w:t>
      </w:r>
      <w:r w:rsidR="00BE2FCE">
        <w:rPr>
          <w:rFonts w:ascii="Bookman Old Style" w:eastAsia="Calibri" w:hAnsi="Bookman Old Style" w:cs="Arial"/>
          <w:sz w:val="28"/>
          <w:szCs w:val="28"/>
        </w:rPr>
        <w:t xml:space="preserve"> 13</w:t>
      </w:r>
      <w:r w:rsidR="006F74E7">
        <w:rPr>
          <w:rFonts w:ascii="Bookman Old Style" w:eastAsia="Calibri" w:hAnsi="Bookman Old Style" w:cs="Arial"/>
          <w:sz w:val="28"/>
          <w:szCs w:val="28"/>
        </w:rPr>
        <w:t>, 10 numeral 2</w:t>
      </w:r>
      <w:r w:rsidR="00BE2FCE">
        <w:rPr>
          <w:rFonts w:ascii="Bookman Old Style" w:eastAsia="Calibri" w:hAnsi="Bookman Old Style" w:cs="Arial"/>
          <w:sz w:val="28"/>
          <w:szCs w:val="28"/>
        </w:rPr>
        <w:t xml:space="preserve"> de la Ley </w:t>
      </w:r>
      <w:r w:rsidR="00BE2FCE" w:rsidRPr="00BE2FCE">
        <w:rPr>
          <w:rFonts w:ascii="Bookman Old Style" w:eastAsia="Calibri" w:hAnsi="Bookman Old Style" w:cs="Arial"/>
          <w:sz w:val="28"/>
          <w:szCs w:val="28"/>
        </w:rPr>
        <w:t>1116 de 2006</w:t>
      </w:r>
      <w:r w:rsidR="00BE2FCE">
        <w:rPr>
          <w:rFonts w:ascii="Bookman Old Style" w:eastAsia="Calibri" w:hAnsi="Bookman Old Style" w:cs="Arial"/>
          <w:sz w:val="28"/>
          <w:szCs w:val="28"/>
        </w:rPr>
        <w:t>.</w:t>
      </w:r>
    </w:p>
    <w:p w14:paraId="26FB4AB8" w14:textId="77777777" w:rsidR="0014554C" w:rsidRDefault="0014554C" w:rsidP="000355D2">
      <w:pPr>
        <w:autoSpaceDE w:val="0"/>
        <w:autoSpaceDN w:val="0"/>
        <w:adjustRightInd w:val="0"/>
        <w:spacing w:line="360" w:lineRule="auto"/>
        <w:ind w:firstLine="709"/>
        <w:jc w:val="both"/>
        <w:rPr>
          <w:rFonts w:ascii="Bookman Old Style" w:eastAsia="Calibri" w:hAnsi="Bookman Old Style" w:cs="Arial"/>
          <w:sz w:val="28"/>
          <w:szCs w:val="28"/>
        </w:rPr>
      </w:pPr>
    </w:p>
    <w:p w14:paraId="116E319D" w14:textId="04281440" w:rsidR="0014554C" w:rsidRDefault="0014554C" w:rsidP="000355D2">
      <w:pPr>
        <w:autoSpaceDE w:val="0"/>
        <w:autoSpaceDN w:val="0"/>
        <w:adjustRightInd w:val="0"/>
        <w:spacing w:line="360" w:lineRule="auto"/>
        <w:ind w:firstLine="709"/>
        <w:jc w:val="both"/>
        <w:rPr>
          <w:rFonts w:ascii="Bookman Old Style" w:eastAsia="Calibri" w:hAnsi="Bookman Old Style" w:cs="Arial"/>
          <w:sz w:val="28"/>
          <w:szCs w:val="28"/>
        </w:rPr>
      </w:pPr>
      <w:r w:rsidRPr="00701B12">
        <w:rPr>
          <w:rFonts w:ascii="Bookman Old Style" w:eastAsia="Calibri" w:hAnsi="Bookman Old Style" w:cs="Arial"/>
          <w:sz w:val="28"/>
          <w:szCs w:val="28"/>
        </w:rPr>
        <w:t>Aunado a lo anterior</w:t>
      </w:r>
      <w:r w:rsidR="00DB1D06" w:rsidRPr="00701B12">
        <w:rPr>
          <w:rFonts w:ascii="Bookman Old Style" w:eastAsia="Calibri" w:hAnsi="Bookman Old Style" w:cs="Arial"/>
          <w:sz w:val="28"/>
          <w:szCs w:val="28"/>
        </w:rPr>
        <w:t>, no puede perderse de vista</w:t>
      </w:r>
      <w:r w:rsidRPr="00701B12">
        <w:rPr>
          <w:rFonts w:ascii="Bookman Old Style" w:eastAsia="Calibri" w:hAnsi="Bookman Old Style" w:cs="Arial"/>
          <w:sz w:val="28"/>
          <w:szCs w:val="28"/>
        </w:rPr>
        <w:t xml:space="preserve"> que llevar contabilidad </w:t>
      </w:r>
      <w:r w:rsidR="00467305" w:rsidRPr="00701B12">
        <w:rPr>
          <w:rFonts w:ascii="Bookman Old Style" w:eastAsia="Calibri" w:hAnsi="Bookman Old Style" w:cs="Arial"/>
          <w:sz w:val="28"/>
          <w:szCs w:val="28"/>
        </w:rPr>
        <w:t>n</w:t>
      </w:r>
      <w:r w:rsidRPr="00701B12">
        <w:rPr>
          <w:rFonts w:ascii="Bookman Old Style" w:eastAsia="Calibri" w:hAnsi="Bookman Old Style" w:cs="Arial"/>
          <w:sz w:val="28"/>
          <w:szCs w:val="28"/>
        </w:rPr>
        <w:t xml:space="preserve">o solo es una de las obligaciones del comerciante, </w:t>
      </w:r>
      <w:r w:rsidR="00D22E6F" w:rsidRPr="00701B12">
        <w:rPr>
          <w:rFonts w:ascii="Bookman Old Style" w:eastAsia="Calibri" w:hAnsi="Bookman Old Style" w:cs="Arial"/>
          <w:sz w:val="28"/>
          <w:szCs w:val="28"/>
        </w:rPr>
        <w:t xml:space="preserve">cuya realización está </w:t>
      </w:r>
      <w:r w:rsidRPr="00701B12">
        <w:rPr>
          <w:rFonts w:ascii="Bookman Old Style" w:eastAsia="Calibri" w:hAnsi="Bookman Old Style" w:cs="Arial"/>
          <w:sz w:val="28"/>
          <w:szCs w:val="28"/>
        </w:rPr>
        <w:t>regulada</w:t>
      </w:r>
      <w:r w:rsidR="00D22E6F" w:rsidRPr="00701B12">
        <w:rPr>
          <w:rFonts w:ascii="Bookman Old Style" w:eastAsia="Calibri" w:hAnsi="Bookman Old Style" w:cs="Arial"/>
          <w:sz w:val="28"/>
          <w:szCs w:val="28"/>
        </w:rPr>
        <w:t xml:space="preserve">, en general, en </w:t>
      </w:r>
      <w:r w:rsidRPr="00701B12">
        <w:rPr>
          <w:rFonts w:ascii="Bookman Old Style" w:eastAsia="Calibri" w:hAnsi="Bookman Old Style" w:cs="Arial"/>
          <w:sz w:val="28"/>
          <w:szCs w:val="28"/>
        </w:rPr>
        <w:t xml:space="preserve">los artículos </w:t>
      </w:r>
      <w:r w:rsidR="00D22E6F" w:rsidRPr="00701B12">
        <w:rPr>
          <w:rFonts w:ascii="Bookman Old Style" w:eastAsia="Calibri" w:hAnsi="Bookman Old Style" w:cs="Arial"/>
          <w:sz w:val="28"/>
          <w:szCs w:val="28"/>
        </w:rPr>
        <w:t>48 a 60 del Código de Comercio</w:t>
      </w:r>
      <w:r w:rsidR="00701B12" w:rsidRPr="00701B12">
        <w:rPr>
          <w:rFonts w:ascii="Bookman Old Style" w:eastAsia="Calibri" w:hAnsi="Bookman Old Style" w:cs="Arial"/>
          <w:sz w:val="28"/>
          <w:szCs w:val="28"/>
        </w:rPr>
        <w:t>,</w:t>
      </w:r>
      <w:r w:rsidR="00D22E6F" w:rsidRPr="00701B12">
        <w:rPr>
          <w:rFonts w:ascii="Bookman Old Style" w:eastAsia="Calibri" w:hAnsi="Bookman Old Style" w:cs="Arial"/>
          <w:sz w:val="28"/>
          <w:szCs w:val="28"/>
        </w:rPr>
        <w:t xml:space="preserve"> sino que</w:t>
      </w:r>
      <w:r w:rsidR="00701B12" w:rsidRPr="00701B12">
        <w:rPr>
          <w:rFonts w:ascii="Bookman Old Style" w:eastAsia="Calibri" w:hAnsi="Bookman Old Style" w:cs="Arial"/>
          <w:sz w:val="28"/>
          <w:szCs w:val="28"/>
        </w:rPr>
        <w:t>,</w:t>
      </w:r>
      <w:r w:rsidR="00D22E6F" w:rsidRPr="00701B12">
        <w:rPr>
          <w:rFonts w:ascii="Bookman Old Style" w:eastAsia="Calibri" w:hAnsi="Bookman Old Style" w:cs="Arial"/>
          <w:sz w:val="28"/>
          <w:szCs w:val="28"/>
        </w:rPr>
        <w:t xml:space="preserve"> además, la existencia de dicha documental (estados financie</w:t>
      </w:r>
      <w:r w:rsidR="00467305" w:rsidRPr="00701B12">
        <w:rPr>
          <w:rFonts w:ascii="Bookman Old Style" w:eastAsia="Calibri" w:hAnsi="Bookman Old Style" w:cs="Arial"/>
          <w:sz w:val="28"/>
          <w:szCs w:val="28"/>
        </w:rPr>
        <w:t xml:space="preserve">ros, libros contables, soportes </w:t>
      </w:r>
      <w:r w:rsidR="00D22E6F" w:rsidRPr="00701B12">
        <w:rPr>
          <w:rFonts w:ascii="Bookman Old Style" w:eastAsia="Calibri" w:hAnsi="Bookman Old Style" w:cs="Arial"/>
          <w:sz w:val="28"/>
          <w:szCs w:val="28"/>
        </w:rPr>
        <w:t>contable</w:t>
      </w:r>
      <w:r w:rsidR="00467305" w:rsidRPr="00701B12">
        <w:rPr>
          <w:rFonts w:ascii="Bookman Old Style" w:eastAsia="Calibri" w:hAnsi="Bookman Old Style" w:cs="Arial"/>
          <w:sz w:val="28"/>
          <w:szCs w:val="28"/>
        </w:rPr>
        <w:t>s</w:t>
      </w:r>
      <w:r w:rsidR="00D22E6F" w:rsidRPr="00701B12">
        <w:rPr>
          <w:rFonts w:ascii="Bookman Old Style" w:eastAsia="Calibri" w:hAnsi="Bookman Old Style" w:cs="Arial"/>
          <w:sz w:val="28"/>
          <w:szCs w:val="28"/>
        </w:rPr>
        <w:t xml:space="preserve">, </w:t>
      </w:r>
      <w:r w:rsidR="00CC7F76" w:rsidRPr="00701B12">
        <w:rPr>
          <w:rFonts w:ascii="Bookman Old Style" w:eastAsia="Calibri" w:hAnsi="Bookman Old Style" w:cs="Arial"/>
          <w:sz w:val="28"/>
          <w:szCs w:val="28"/>
        </w:rPr>
        <w:t xml:space="preserve">registros contables, </w:t>
      </w:r>
      <w:r w:rsidR="00D22E6F" w:rsidRPr="00701B12">
        <w:rPr>
          <w:rFonts w:ascii="Bookman Old Style" w:eastAsia="Calibri" w:hAnsi="Bookman Old Style" w:cs="Arial"/>
          <w:sz w:val="28"/>
          <w:szCs w:val="28"/>
        </w:rPr>
        <w:t xml:space="preserve">entre otros) </w:t>
      </w:r>
      <w:r w:rsidR="00467305" w:rsidRPr="00701B12">
        <w:rPr>
          <w:rFonts w:ascii="Bookman Old Style" w:eastAsia="Calibri" w:hAnsi="Bookman Old Style" w:cs="Arial"/>
          <w:sz w:val="28"/>
          <w:szCs w:val="28"/>
        </w:rPr>
        <w:t>sirve</w:t>
      </w:r>
      <w:r w:rsidR="00DB1D06" w:rsidRPr="00701B12">
        <w:rPr>
          <w:rFonts w:ascii="Bookman Old Style" w:eastAsia="Calibri" w:hAnsi="Bookman Old Style" w:cs="Arial"/>
          <w:sz w:val="28"/>
          <w:szCs w:val="28"/>
        </w:rPr>
        <w:t xml:space="preserve"> de base para conocer la situación financiera</w:t>
      </w:r>
      <w:r w:rsidR="00467305" w:rsidRPr="00701B12">
        <w:rPr>
          <w:rFonts w:ascii="Bookman Old Style" w:eastAsia="Calibri" w:hAnsi="Bookman Old Style" w:cs="Arial"/>
          <w:sz w:val="28"/>
          <w:szCs w:val="28"/>
        </w:rPr>
        <w:t xml:space="preserve"> real de quien se somete a un proceso de reorganización y además brinda un panorama, en principio, fidedigno y cierto para los acreedores</w:t>
      </w:r>
      <w:r w:rsidR="00CC7F76" w:rsidRPr="00701B12">
        <w:rPr>
          <w:rFonts w:ascii="Bookman Old Style" w:eastAsia="Calibri" w:hAnsi="Bookman Old Style" w:cs="Arial"/>
          <w:sz w:val="28"/>
          <w:szCs w:val="28"/>
        </w:rPr>
        <w:t xml:space="preserve">, </w:t>
      </w:r>
      <w:r w:rsidR="00467305" w:rsidRPr="00701B12">
        <w:rPr>
          <w:rFonts w:ascii="Bookman Old Style" w:eastAsia="Calibri" w:hAnsi="Bookman Old Style" w:cs="Arial"/>
          <w:sz w:val="28"/>
          <w:szCs w:val="28"/>
        </w:rPr>
        <w:t>lo que les permitirá objetar el proyecto de reconocimiento y graduación de créditos y derechos de voto (artículo 29</w:t>
      </w:r>
      <w:r w:rsidR="00701B12" w:rsidRPr="00701B12">
        <w:rPr>
          <w:rFonts w:ascii="Bookman Old Style" w:eastAsia="Calibri" w:hAnsi="Bookman Old Style" w:cs="Arial"/>
          <w:sz w:val="28"/>
          <w:szCs w:val="28"/>
        </w:rPr>
        <w:t>,</w:t>
      </w:r>
      <w:r w:rsidR="00467305" w:rsidRPr="00701B12">
        <w:rPr>
          <w:rFonts w:ascii="Bookman Old Style" w:eastAsia="Calibri" w:hAnsi="Bookman Old Style" w:cs="Arial"/>
          <w:sz w:val="28"/>
          <w:szCs w:val="28"/>
        </w:rPr>
        <w:t xml:space="preserve"> ley 1116 de 2011) </w:t>
      </w:r>
      <w:r w:rsidR="00CC7F76" w:rsidRPr="00701B12">
        <w:rPr>
          <w:rFonts w:ascii="Bookman Old Style" w:eastAsia="Calibri" w:hAnsi="Bookman Old Style" w:cs="Arial"/>
          <w:sz w:val="28"/>
          <w:szCs w:val="28"/>
        </w:rPr>
        <w:t xml:space="preserve">y construir el acuerdo de reorganización, que por su naturaleza es democrático (artículo 31 ibídem). </w:t>
      </w:r>
      <w:r w:rsidR="003A1F71" w:rsidRPr="00701B12">
        <w:rPr>
          <w:rFonts w:ascii="Bookman Old Style" w:eastAsia="Calibri" w:hAnsi="Bookman Old Style" w:cs="Arial"/>
          <w:sz w:val="28"/>
          <w:szCs w:val="28"/>
        </w:rPr>
        <w:t xml:space="preserve">En suma, es la información contable el eje que permite la garantía de los derechos del deudor y de los acreedores  en el proceso de reorganización, razón por la cual no resulta desproporcionado que, en juicios de tal naturaleza, se inadmita la demanda por ausencia de dicha documental, ni el rechazo de </w:t>
      </w:r>
      <w:r w:rsidR="00DB1D06" w:rsidRPr="00701B12">
        <w:rPr>
          <w:rFonts w:ascii="Bookman Old Style" w:eastAsia="Calibri" w:hAnsi="Bookman Old Style" w:cs="Arial"/>
          <w:sz w:val="28"/>
          <w:szCs w:val="28"/>
        </w:rPr>
        <w:t>aquella cuando</w:t>
      </w:r>
      <w:r w:rsidR="003A1F71" w:rsidRPr="00701B12">
        <w:rPr>
          <w:rFonts w:ascii="Bookman Old Style" w:eastAsia="Calibri" w:hAnsi="Bookman Old Style" w:cs="Arial"/>
          <w:sz w:val="28"/>
          <w:szCs w:val="28"/>
        </w:rPr>
        <w:t xml:space="preserve"> la </w:t>
      </w:r>
      <w:r w:rsidR="00DB1D06" w:rsidRPr="00701B12">
        <w:rPr>
          <w:rFonts w:ascii="Bookman Old Style" w:eastAsia="Calibri" w:hAnsi="Bookman Old Style" w:cs="Arial"/>
          <w:sz w:val="28"/>
          <w:szCs w:val="28"/>
        </w:rPr>
        <w:t>información contable</w:t>
      </w:r>
      <w:r w:rsidR="003A1F71" w:rsidRPr="00701B12">
        <w:rPr>
          <w:rFonts w:ascii="Bookman Old Style" w:eastAsia="Calibri" w:hAnsi="Bookman Old Style" w:cs="Arial"/>
          <w:sz w:val="28"/>
          <w:szCs w:val="28"/>
        </w:rPr>
        <w:t xml:space="preserve"> no es allegada al proceso en los términos previstos por la ley.</w:t>
      </w:r>
    </w:p>
    <w:p w14:paraId="12CCD113" w14:textId="77777777" w:rsidR="003B564C" w:rsidRDefault="003B564C" w:rsidP="000355D2">
      <w:pPr>
        <w:autoSpaceDE w:val="0"/>
        <w:autoSpaceDN w:val="0"/>
        <w:adjustRightInd w:val="0"/>
        <w:spacing w:line="360" w:lineRule="auto"/>
        <w:ind w:firstLine="709"/>
        <w:jc w:val="both"/>
        <w:rPr>
          <w:rFonts w:ascii="Bookman Old Style" w:eastAsia="Calibri" w:hAnsi="Bookman Old Style" w:cs="Arial"/>
          <w:sz w:val="28"/>
          <w:szCs w:val="28"/>
        </w:rPr>
      </w:pPr>
    </w:p>
    <w:p w14:paraId="7287F298" w14:textId="77777777" w:rsidR="00C340A3" w:rsidRDefault="00C23E4E" w:rsidP="0041419D">
      <w:pPr>
        <w:autoSpaceDE w:val="0"/>
        <w:autoSpaceDN w:val="0"/>
        <w:adjustRightInd w:val="0"/>
        <w:spacing w:line="360" w:lineRule="auto"/>
        <w:ind w:firstLine="709"/>
        <w:jc w:val="both"/>
        <w:rPr>
          <w:rFonts w:ascii="Bookman Old Style" w:hAnsi="Bookman Old Style" w:cs="Arial"/>
          <w:sz w:val="28"/>
          <w:szCs w:val="28"/>
        </w:rPr>
      </w:pPr>
      <w:r>
        <w:rPr>
          <w:rFonts w:ascii="Bookman Old Style" w:hAnsi="Bookman Old Style" w:cs="Arial"/>
          <w:sz w:val="28"/>
          <w:szCs w:val="28"/>
        </w:rPr>
        <w:t>E</w:t>
      </w:r>
      <w:r w:rsidR="0029338B">
        <w:rPr>
          <w:rFonts w:ascii="Bookman Old Style" w:hAnsi="Bookman Old Style" w:cs="Arial"/>
          <w:sz w:val="28"/>
          <w:szCs w:val="28"/>
        </w:rPr>
        <w:t xml:space="preserve">n consecuencia, </w:t>
      </w:r>
      <w:r w:rsidR="004F57D6" w:rsidRPr="004F57D6">
        <w:rPr>
          <w:rFonts w:ascii="Bookman Old Style" w:hAnsi="Bookman Old Style" w:cs="Arial"/>
          <w:sz w:val="28"/>
          <w:szCs w:val="28"/>
        </w:rPr>
        <w:t>la</w:t>
      </w:r>
      <w:r w:rsidR="001E319C">
        <w:rPr>
          <w:rFonts w:ascii="Bookman Old Style" w:hAnsi="Bookman Old Style" w:cs="Arial"/>
          <w:sz w:val="28"/>
          <w:szCs w:val="28"/>
        </w:rPr>
        <w:t xml:space="preserve"> decisión </w:t>
      </w:r>
      <w:r w:rsidR="00536378">
        <w:rPr>
          <w:rFonts w:ascii="Bookman Old Style" w:hAnsi="Bookman Old Style" w:cs="Arial"/>
          <w:sz w:val="28"/>
          <w:szCs w:val="28"/>
        </w:rPr>
        <w:t>de</w:t>
      </w:r>
      <w:r>
        <w:rPr>
          <w:rFonts w:ascii="Bookman Old Style" w:hAnsi="Bookman Old Style" w:cs="Arial"/>
          <w:sz w:val="28"/>
          <w:szCs w:val="28"/>
        </w:rPr>
        <w:t>l</w:t>
      </w:r>
      <w:r w:rsidRPr="00C23E4E">
        <w:t xml:space="preserve"> </w:t>
      </w:r>
      <w:r w:rsidRPr="00C23E4E">
        <w:rPr>
          <w:rFonts w:ascii="Bookman Old Style" w:hAnsi="Bookman Old Style" w:cs="Arial"/>
          <w:sz w:val="28"/>
          <w:szCs w:val="28"/>
        </w:rPr>
        <w:t>Juzgado Octavo Civil del Circuito de esta ciudad</w:t>
      </w:r>
      <w:r>
        <w:rPr>
          <w:rFonts w:ascii="Bookman Old Style" w:hAnsi="Bookman Old Style" w:cs="Arial"/>
          <w:sz w:val="28"/>
          <w:szCs w:val="28"/>
        </w:rPr>
        <w:t xml:space="preserve"> </w:t>
      </w:r>
      <w:r w:rsidR="004F57D6" w:rsidRPr="004F57D6">
        <w:rPr>
          <w:rFonts w:ascii="Bookman Old Style" w:hAnsi="Bookman Old Style" w:cs="Arial"/>
          <w:sz w:val="28"/>
          <w:szCs w:val="28"/>
        </w:rPr>
        <w:t xml:space="preserve">no </w:t>
      </w:r>
      <w:r w:rsidR="001E319C">
        <w:rPr>
          <w:rFonts w:ascii="Bookman Old Style" w:hAnsi="Bookman Old Style" w:cs="Arial"/>
          <w:sz w:val="28"/>
          <w:szCs w:val="28"/>
        </w:rPr>
        <w:t xml:space="preserve">es </w:t>
      </w:r>
      <w:r w:rsidR="004F57D6">
        <w:rPr>
          <w:rFonts w:ascii="Bookman Old Style" w:hAnsi="Bookman Old Style" w:cs="Arial"/>
          <w:sz w:val="28"/>
          <w:szCs w:val="28"/>
        </w:rPr>
        <w:t>infundada o arbitraria</w:t>
      </w:r>
      <w:r w:rsidR="004F57D6" w:rsidRPr="004F57D6">
        <w:rPr>
          <w:rFonts w:ascii="Bookman Old Style" w:hAnsi="Bookman Old Style" w:cs="Arial"/>
          <w:sz w:val="28"/>
          <w:szCs w:val="28"/>
        </w:rPr>
        <w:t>,</w:t>
      </w:r>
      <w:r w:rsidR="004F57D6">
        <w:rPr>
          <w:rFonts w:ascii="Bookman Old Style" w:hAnsi="Bookman Old Style" w:cs="Arial"/>
          <w:sz w:val="28"/>
          <w:szCs w:val="28"/>
        </w:rPr>
        <w:t xml:space="preserve"> </w:t>
      </w:r>
      <w:r w:rsidR="004F57D6" w:rsidRPr="004F57D6">
        <w:rPr>
          <w:rFonts w:ascii="Bookman Old Style" w:hAnsi="Bookman Old Style" w:cs="Arial"/>
          <w:sz w:val="28"/>
          <w:szCs w:val="28"/>
        </w:rPr>
        <w:t xml:space="preserve">por el </w:t>
      </w:r>
      <w:r w:rsidR="004F57D6" w:rsidRPr="004F57D6">
        <w:rPr>
          <w:rFonts w:ascii="Bookman Old Style" w:hAnsi="Bookman Old Style" w:cs="Arial"/>
          <w:sz w:val="28"/>
          <w:szCs w:val="28"/>
        </w:rPr>
        <w:lastRenderedPageBreak/>
        <w:t xml:space="preserve">contrario, queda en evidencia una diferencia de criterios entre el recurrente y </w:t>
      </w:r>
      <w:r w:rsidR="004F57D6">
        <w:rPr>
          <w:rFonts w:ascii="Bookman Old Style" w:hAnsi="Bookman Old Style" w:cs="Arial"/>
          <w:sz w:val="28"/>
          <w:szCs w:val="28"/>
        </w:rPr>
        <w:t>aquella</w:t>
      </w:r>
      <w:r w:rsidR="004F57D6" w:rsidRPr="004F57D6">
        <w:rPr>
          <w:rFonts w:ascii="Bookman Old Style" w:hAnsi="Bookman Old Style" w:cs="Arial"/>
          <w:sz w:val="28"/>
          <w:szCs w:val="28"/>
        </w:rPr>
        <w:t xml:space="preserve"> </w:t>
      </w:r>
      <w:r w:rsidR="00CE6081">
        <w:rPr>
          <w:rFonts w:ascii="Bookman Old Style" w:hAnsi="Bookman Old Style" w:cs="Arial"/>
          <w:sz w:val="28"/>
          <w:szCs w:val="28"/>
        </w:rPr>
        <w:t xml:space="preserve">entidad </w:t>
      </w:r>
      <w:r w:rsidR="004F57D6" w:rsidRPr="004F57D6">
        <w:rPr>
          <w:rFonts w:ascii="Bookman Old Style" w:hAnsi="Bookman Old Style" w:cs="Arial"/>
          <w:sz w:val="28"/>
          <w:szCs w:val="28"/>
        </w:rPr>
        <w:t xml:space="preserve">que no acogió sus pedimentos, luego </w:t>
      </w:r>
      <w:r w:rsidR="004F57D6" w:rsidRPr="00380507">
        <w:rPr>
          <w:rFonts w:ascii="Bookman Old Style" w:hAnsi="Bookman Old Style" w:cs="Arial"/>
          <w:i/>
          <w:iCs/>
          <w:sz w:val="28"/>
          <w:szCs w:val="28"/>
        </w:rPr>
        <w:t>razonablemente</w:t>
      </w:r>
      <w:r w:rsidR="004F57D6" w:rsidRPr="004F57D6">
        <w:rPr>
          <w:rFonts w:ascii="Bookman Old Style" w:hAnsi="Bookman Old Style" w:cs="Arial"/>
          <w:sz w:val="28"/>
          <w:szCs w:val="28"/>
        </w:rPr>
        <w:t xml:space="preserve"> debe admitirse que al margen de que el precursor no comparta las </w:t>
      </w:r>
      <w:r w:rsidR="004F57D6" w:rsidRPr="001E319C">
        <w:rPr>
          <w:rFonts w:ascii="Bookman Old Style" w:hAnsi="Bookman Old Style" w:cs="Arial"/>
          <w:sz w:val="28"/>
          <w:szCs w:val="28"/>
        </w:rPr>
        <w:t>reflexiones y co</w:t>
      </w:r>
      <w:r w:rsidR="004F57D6" w:rsidRPr="004F57D6">
        <w:rPr>
          <w:rFonts w:ascii="Bookman Old Style" w:hAnsi="Bookman Old Style" w:cs="Arial"/>
          <w:sz w:val="28"/>
          <w:szCs w:val="28"/>
        </w:rPr>
        <w:t>nclusiones del proveído cuya revocatoria pretende</w:t>
      </w:r>
      <w:r w:rsidR="00182668">
        <w:rPr>
          <w:rFonts w:ascii="Bookman Old Style" w:hAnsi="Bookman Old Style" w:cs="Arial"/>
          <w:sz w:val="28"/>
          <w:szCs w:val="28"/>
        </w:rPr>
        <w:t>,</w:t>
      </w:r>
      <w:r w:rsidR="004F57D6">
        <w:rPr>
          <w:rFonts w:ascii="Bookman Old Style" w:hAnsi="Bookman Old Style" w:cs="Arial"/>
          <w:sz w:val="28"/>
          <w:szCs w:val="28"/>
        </w:rPr>
        <w:t xml:space="preserve"> estos pilares no </w:t>
      </w:r>
      <w:r w:rsidR="004F57D6" w:rsidRPr="00B4638F">
        <w:rPr>
          <w:rFonts w:ascii="Bookman Old Style" w:hAnsi="Bookman Old Style" w:cs="Arial"/>
          <w:sz w:val="28"/>
          <w:szCs w:val="28"/>
        </w:rPr>
        <w:t>pueden tildarse de sesgad</w:t>
      </w:r>
      <w:r w:rsidR="004F57D6">
        <w:rPr>
          <w:rFonts w:ascii="Bookman Old Style" w:hAnsi="Bookman Old Style" w:cs="Arial"/>
          <w:sz w:val="28"/>
          <w:szCs w:val="28"/>
        </w:rPr>
        <w:t>o</w:t>
      </w:r>
      <w:r w:rsidR="004F57D6" w:rsidRPr="00B4638F">
        <w:rPr>
          <w:rFonts w:ascii="Bookman Old Style" w:hAnsi="Bookman Old Style" w:cs="Arial"/>
          <w:sz w:val="28"/>
          <w:szCs w:val="28"/>
        </w:rPr>
        <w:t>s o caprichos</w:t>
      </w:r>
      <w:r w:rsidR="004F57D6">
        <w:rPr>
          <w:rFonts w:ascii="Bookman Old Style" w:hAnsi="Bookman Old Style" w:cs="Arial"/>
          <w:sz w:val="28"/>
          <w:szCs w:val="28"/>
        </w:rPr>
        <w:t>o</w:t>
      </w:r>
      <w:r w:rsidR="004F57D6" w:rsidRPr="00B4638F">
        <w:rPr>
          <w:rFonts w:ascii="Bookman Old Style" w:hAnsi="Bookman Old Style" w:cs="Arial"/>
          <w:sz w:val="28"/>
          <w:szCs w:val="28"/>
        </w:rPr>
        <w:t xml:space="preserve">s, </w:t>
      </w:r>
      <w:r w:rsidR="004F57D6">
        <w:rPr>
          <w:rFonts w:ascii="Bookman Old Style" w:hAnsi="Bookman Old Style" w:cs="Arial"/>
          <w:sz w:val="28"/>
          <w:szCs w:val="28"/>
        </w:rPr>
        <w:t xml:space="preserve">fruto </w:t>
      </w:r>
      <w:r w:rsidR="004F57D6" w:rsidRPr="00B4638F">
        <w:rPr>
          <w:rFonts w:ascii="Bookman Old Style" w:hAnsi="Bookman Old Style" w:cs="Arial"/>
          <w:sz w:val="28"/>
          <w:szCs w:val="28"/>
        </w:rPr>
        <w:t xml:space="preserve">como son de una </w:t>
      </w:r>
      <w:r w:rsidR="004F57D6">
        <w:rPr>
          <w:rFonts w:ascii="Bookman Old Style" w:hAnsi="Bookman Old Style" w:cs="Arial"/>
          <w:sz w:val="28"/>
          <w:szCs w:val="28"/>
        </w:rPr>
        <w:t xml:space="preserve">hermenéutica </w:t>
      </w:r>
      <w:r w:rsidR="004F57D6" w:rsidRPr="00B4638F">
        <w:rPr>
          <w:rFonts w:ascii="Bookman Old Style" w:hAnsi="Bookman Old Style" w:cs="Arial"/>
          <w:sz w:val="28"/>
          <w:szCs w:val="28"/>
        </w:rPr>
        <w:t xml:space="preserve">plausible </w:t>
      </w:r>
      <w:r w:rsidR="004F57D6">
        <w:rPr>
          <w:rFonts w:ascii="Bookman Old Style" w:hAnsi="Bookman Old Style" w:cs="Arial"/>
          <w:sz w:val="28"/>
          <w:szCs w:val="28"/>
        </w:rPr>
        <w:t xml:space="preserve">de la normatividad que rige </w:t>
      </w:r>
      <w:r w:rsidR="004F57D6" w:rsidRPr="00B4638F">
        <w:rPr>
          <w:rFonts w:ascii="Bookman Old Style" w:hAnsi="Bookman Old Style" w:cs="Arial"/>
          <w:sz w:val="28"/>
          <w:szCs w:val="28"/>
        </w:rPr>
        <w:t xml:space="preserve">la </w:t>
      </w:r>
      <w:r w:rsidR="004F57D6" w:rsidRPr="00C340A3">
        <w:rPr>
          <w:rFonts w:ascii="Bookman Old Style" w:hAnsi="Bookman Old Style" w:cs="Arial"/>
          <w:sz w:val="28"/>
          <w:szCs w:val="28"/>
        </w:rPr>
        <w:t xml:space="preserve">materia, sumada a la coherente evaluación del material persuasivo sometido a </w:t>
      </w:r>
      <w:r w:rsidR="00B8110F" w:rsidRPr="00C340A3">
        <w:rPr>
          <w:rFonts w:ascii="Bookman Old Style" w:hAnsi="Bookman Old Style" w:cs="Arial"/>
          <w:sz w:val="28"/>
          <w:szCs w:val="28"/>
        </w:rPr>
        <w:t>su</w:t>
      </w:r>
      <w:r w:rsidR="004F57D6" w:rsidRPr="00C340A3">
        <w:rPr>
          <w:rFonts w:ascii="Bookman Old Style" w:hAnsi="Bookman Old Style" w:cs="Arial"/>
          <w:sz w:val="28"/>
          <w:szCs w:val="28"/>
        </w:rPr>
        <w:t xml:space="preserve"> ponderación, ejercicio</w:t>
      </w:r>
      <w:r w:rsidR="004F57D6">
        <w:rPr>
          <w:rFonts w:ascii="Bookman Old Style" w:hAnsi="Bookman Old Style" w:cs="Arial"/>
          <w:sz w:val="28"/>
          <w:szCs w:val="28"/>
        </w:rPr>
        <w:t xml:space="preserve"> que excluye </w:t>
      </w:r>
      <w:r w:rsidR="004F57D6" w:rsidRPr="00B4638F">
        <w:rPr>
          <w:rFonts w:ascii="Bookman Old Style" w:hAnsi="Bookman Old Style" w:cs="Arial"/>
          <w:sz w:val="28"/>
          <w:szCs w:val="28"/>
        </w:rPr>
        <w:t>la intervención de la justicia constitucional</w:t>
      </w:r>
      <w:r w:rsidR="0041419D">
        <w:rPr>
          <w:rFonts w:ascii="Bookman Old Style" w:hAnsi="Bookman Old Style" w:cs="Arial"/>
          <w:sz w:val="28"/>
          <w:szCs w:val="28"/>
        </w:rPr>
        <w:t xml:space="preserve">, ya que </w:t>
      </w:r>
    </w:p>
    <w:p w14:paraId="1FEAA3F3" w14:textId="77777777" w:rsidR="00C340A3" w:rsidRDefault="00C340A3" w:rsidP="0041419D">
      <w:pPr>
        <w:autoSpaceDE w:val="0"/>
        <w:autoSpaceDN w:val="0"/>
        <w:adjustRightInd w:val="0"/>
        <w:spacing w:line="360" w:lineRule="auto"/>
        <w:ind w:firstLine="709"/>
        <w:jc w:val="both"/>
        <w:rPr>
          <w:rFonts w:ascii="Bookman Old Style" w:hAnsi="Bookman Old Style" w:cs="Arial"/>
          <w:sz w:val="28"/>
          <w:szCs w:val="28"/>
        </w:rPr>
      </w:pPr>
    </w:p>
    <w:p w14:paraId="11D01259" w14:textId="77777777" w:rsidR="00C340A3" w:rsidRPr="00C340A3" w:rsidRDefault="00C340A3" w:rsidP="00C340A3">
      <w:pPr>
        <w:overflowPunct w:val="0"/>
        <w:autoSpaceDE w:val="0"/>
        <w:autoSpaceDN w:val="0"/>
        <w:adjustRightInd w:val="0"/>
        <w:ind w:left="709"/>
        <w:jc w:val="both"/>
        <w:textAlignment w:val="baseline"/>
        <w:rPr>
          <w:rFonts w:ascii="Bookman Old Style" w:hAnsi="Bookman Old Style" w:cs="Arial"/>
          <w:bCs/>
          <w:iCs/>
          <w:sz w:val="28"/>
          <w:szCs w:val="28"/>
          <w:lang w:val="es-ES_tradnl"/>
        </w:rPr>
      </w:pPr>
      <w:r w:rsidRPr="00C340A3">
        <w:rPr>
          <w:rFonts w:ascii="Bookman Old Style" w:hAnsi="Bookman Old Style" w:cs="Arial"/>
          <w:bCs/>
          <w:i/>
          <w:iCs/>
          <w:sz w:val="24"/>
          <w:szCs w:val="24"/>
          <w:lang w:val="es-ES_tradnl"/>
        </w:rPr>
        <w:t>«(…) el mecanismo de amparo constitucional no está previsto para desquiciar providencias judiciales con apoyo en la diferencia de opinión de aquéllos a quienes fueron adversas, obrar en contrario equivaldría al desconocimiento de los principios de autonomía e independencia que inspiran la función pública de administrar justicia y conllevaría a erosionar el régimen de jurisdicción y competencias previstas en el ordenamiento jurídico a través del ejercicio espurio de una facultad constitucional, al que exhorta el promotor de este amparo»</w:t>
      </w:r>
      <w:r w:rsidRPr="00C340A3">
        <w:rPr>
          <w:rFonts w:ascii="Bookman Old Style" w:hAnsi="Bookman Old Style" w:cs="Arial"/>
          <w:bCs/>
          <w:iCs/>
          <w:sz w:val="28"/>
          <w:szCs w:val="28"/>
          <w:lang w:val="es-ES_tradnl"/>
        </w:rPr>
        <w:t xml:space="preserve"> (CSJ STC, 15 feb. 2011, rad. 01404-01, reiterado entre muchas otras, en STC4705-2016, 13 ab. rad. 00077-01).</w:t>
      </w:r>
    </w:p>
    <w:p w14:paraId="0D22A775" w14:textId="77777777" w:rsidR="0041419D" w:rsidRDefault="0041419D" w:rsidP="007F206B">
      <w:pPr>
        <w:autoSpaceDE w:val="0"/>
        <w:autoSpaceDN w:val="0"/>
        <w:adjustRightInd w:val="0"/>
        <w:spacing w:line="360" w:lineRule="auto"/>
        <w:ind w:firstLine="709"/>
        <w:jc w:val="both"/>
        <w:rPr>
          <w:rFonts w:ascii="Bookman Old Style" w:hAnsi="Bookman Old Style" w:cs="Arial"/>
          <w:sz w:val="28"/>
          <w:szCs w:val="28"/>
        </w:rPr>
      </w:pPr>
    </w:p>
    <w:p w14:paraId="728BFF9A" w14:textId="129E967C" w:rsidR="00033AF7" w:rsidRPr="00033AF7" w:rsidRDefault="0028452B" w:rsidP="00033AF7">
      <w:pPr>
        <w:autoSpaceDE w:val="0"/>
        <w:autoSpaceDN w:val="0"/>
        <w:adjustRightInd w:val="0"/>
        <w:spacing w:line="360" w:lineRule="auto"/>
        <w:ind w:firstLine="709"/>
        <w:jc w:val="both"/>
        <w:rPr>
          <w:rFonts w:ascii="Bookman Old Style" w:hAnsi="Bookman Old Style" w:cs="Arial"/>
          <w:i/>
          <w:iCs/>
          <w:sz w:val="28"/>
          <w:szCs w:val="28"/>
        </w:rPr>
      </w:pPr>
      <w:r>
        <w:rPr>
          <w:rFonts w:ascii="Bookman Old Style" w:hAnsi="Bookman Old Style" w:cs="Arial"/>
          <w:sz w:val="28"/>
          <w:szCs w:val="28"/>
        </w:rPr>
        <w:t xml:space="preserve">Por último, </w:t>
      </w:r>
      <w:r w:rsidR="00B854E5">
        <w:rPr>
          <w:rFonts w:ascii="Bookman Old Style" w:hAnsi="Bookman Old Style" w:cs="Arial"/>
          <w:sz w:val="28"/>
          <w:szCs w:val="28"/>
        </w:rPr>
        <w:t>respecto a</w:t>
      </w:r>
      <w:r>
        <w:rPr>
          <w:rFonts w:ascii="Bookman Old Style" w:hAnsi="Bookman Old Style" w:cs="Arial"/>
          <w:sz w:val="28"/>
          <w:szCs w:val="28"/>
        </w:rPr>
        <w:t xml:space="preserve"> </w:t>
      </w:r>
      <w:r w:rsidR="00033AF7" w:rsidRPr="00033AF7">
        <w:rPr>
          <w:rFonts w:ascii="Bookman Old Style" w:hAnsi="Bookman Old Style" w:cs="Arial"/>
          <w:sz w:val="28"/>
          <w:szCs w:val="28"/>
        </w:rPr>
        <w:t xml:space="preserve">la orden </w:t>
      </w:r>
      <w:r w:rsidR="00002C92">
        <w:rPr>
          <w:rFonts w:ascii="Bookman Old Style" w:hAnsi="Bookman Old Style" w:cs="Arial"/>
          <w:sz w:val="28"/>
          <w:szCs w:val="28"/>
        </w:rPr>
        <w:t xml:space="preserve">dirigida </w:t>
      </w:r>
      <w:r w:rsidR="00033AF7" w:rsidRPr="00033AF7">
        <w:rPr>
          <w:rFonts w:ascii="Bookman Old Style" w:hAnsi="Bookman Old Style" w:cs="Arial"/>
          <w:sz w:val="28"/>
          <w:szCs w:val="28"/>
        </w:rPr>
        <w:t xml:space="preserve">a la </w:t>
      </w:r>
      <w:r w:rsidR="00033AF7">
        <w:rPr>
          <w:rFonts w:ascii="Bookman Old Style" w:hAnsi="Bookman Old Style" w:cs="Arial"/>
          <w:sz w:val="28"/>
          <w:szCs w:val="28"/>
        </w:rPr>
        <w:t xml:space="preserve">Junta </w:t>
      </w:r>
      <w:r w:rsidR="00033AF7" w:rsidRPr="00033AF7">
        <w:rPr>
          <w:rFonts w:ascii="Bookman Old Style" w:hAnsi="Bookman Old Style" w:cs="Arial"/>
          <w:sz w:val="28"/>
          <w:szCs w:val="28"/>
        </w:rPr>
        <w:t>Nacional de Contadores o</w:t>
      </w:r>
      <w:r w:rsidR="00033AF7">
        <w:rPr>
          <w:rFonts w:ascii="Bookman Old Style" w:hAnsi="Bookman Old Style" w:cs="Arial"/>
          <w:sz w:val="28"/>
          <w:szCs w:val="28"/>
        </w:rPr>
        <w:t xml:space="preserve"> Universidad(es) que tengan </w:t>
      </w:r>
      <w:r w:rsidR="00033AF7" w:rsidRPr="00033AF7">
        <w:rPr>
          <w:rFonts w:ascii="Bookman Old Style" w:hAnsi="Bookman Old Style" w:cs="Arial"/>
          <w:sz w:val="28"/>
          <w:szCs w:val="28"/>
        </w:rPr>
        <w:t xml:space="preserve">facultad de Contaduría, para que </w:t>
      </w:r>
      <w:r w:rsidR="00033AF7" w:rsidRPr="00033AF7">
        <w:rPr>
          <w:rFonts w:ascii="Bookman Old Style" w:hAnsi="Bookman Old Style" w:cs="Arial"/>
          <w:i/>
          <w:iCs/>
          <w:sz w:val="28"/>
          <w:szCs w:val="28"/>
        </w:rPr>
        <w:t>«conceptualice[n] (…) si un comerciante persona natural sigue obligado a llevar contabilidad bajo los preceptos del Decreto 2649 de 1993, es decir los 5 estados financieros básicos, o debe acogerse a las NIIF»</w:t>
      </w:r>
      <w:r w:rsidR="00033AF7">
        <w:rPr>
          <w:rFonts w:ascii="Bookman Old Style" w:hAnsi="Bookman Old Style" w:cs="Arial"/>
          <w:i/>
          <w:iCs/>
          <w:sz w:val="28"/>
          <w:szCs w:val="28"/>
        </w:rPr>
        <w:t xml:space="preserve">, </w:t>
      </w:r>
      <w:r w:rsidR="00012C3A">
        <w:rPr>
          <w:rFonts w:ascii="Bookman Old Style" w:hAnsi="Bookman Old Style" w:cs="Arial"/>
          <w:sz w:val="28"/>
          <w:szCs w:val="28"/>
        </w:rPr>
        <w:t xml:space="preserve">debe </w:t>
      </w:r>
      <w:r w:rsidR="00033AF7" w:rsidRPr="00033AF7">
        <w:rPr>
          <w:rFonts w:ascii="Bookman Old Style" w:hAnsi="Bookman Old Style" w:cs="Arial"/>
          <w:sz w:val="28"/>
          <w:szCs w:val="28"/>
        </w:rPr>
        <w:t>reitera</w:t>
      </w:r>
      <w:r w:rsidR="00012C3A">
        <w:rPr>
          <w:rFonts w:ascii="Bookman Old Style" w:hAnsi="Bookman Old Style" w:cs="Arial"/>
          <w:sz w:val="28"/>
          <w:szCs w:val="28"/>
        </w:rPr>
        <w:t>rse</w:t>
      </w:r>
      <w:r w:rsidR="00033AF7" w:rsidRPr="00033AF7">
        <w:rPr>
          <w:rFonts w:ascii="Bookman Old Style" w:hAnsi="Bookman Old Style" w:cs="Arial"/>
          <w:sz w:val="28"/>
          <w:szCs w:val="28"/>
        </w:rPr>
        <w:t xml:space="preserve"> que esta herramienta fue instituida para la protección de las prerrogativas fundamentales de los ciudadanos, más no para asumir las cargas que a éstos compete cuando de impulsar gestiones ante las demás autoridades se trata (CSJ STC13744-2019 reiterada en CSJ STC12049-2020, CSJ STC560-2021)</w:t>
      </w:r>
      <w:r w:rsidR="00033AF7" w:rsidRPr="00033AF7">
        <w:rPr>
          <w:rFonts w:ascii="Bookman Old Style" w:hAnsi="Bookman Old Style" w:cs="Arial"/>
          <w:i/>
          <w:iCs/>
          <w:sz w:val="28"/>
          <w:szCs w:val="28"/>
        </w:rPr>
        <w:t>.</w:t>
      </w:r>
    </w:p>
    <w:p w14:paraId="14E35FB2" w14:textId="77777777" w:rsidR="004F57D6" w:rsidRDefault="004F57D6" w:rsidP="00036828">
      <w:pPr>
        <w:autoSpaceDE w:val="0"/>
        <w:autoSpaceDN w:val="0"/>
        <w:adjustRightInd w:val="0"/>
        <w:spacing w:line="360" w:lineRule="auto"/>
        <w:ind w:firstLine="709"/>
        <w:jc w:val="both"/>
        <w:rPr>
          <w:rFonts w:ascii="Bookman Old Style" w:hAnsi="Bookman Old Style" w:cs="Arial"/>
          <w:sz w:val="28"/>
          <w:szCs w:val="28"/>
        </w:rPr>
      </w:pPr>
    </w:p>
    <w:p w14:paraId="24C50010" w14:textId="1B06DBB6" w:rsidR="007F206B" w:rsidRPr="004859F8" w:rsidRDefault="007F206B" w:rsidP="007F206B">
      <w:pPr>
        <w:pStyle w:val="Textoindependiente"/>
        <w:tabs>
          <w:tab w:val="left" w:pos="709"/>
        </w:tabs>
        <w:spacing w:line="360" w:lineRule="auto"/>
        <w:ind w:firstLine="709"/>
        <w:jc w:val="both"/>
        <w:rPr>
          <w:rStyle w:val="FontStyle26"/>
          <w:b w:val="0"/>
          <w:bCs w:val="0"/>
          <w:sz w:val="24"/>
          <w:szCs w:val="24"/>
          <w:lang w:val="es-ES_tradnl" w:eastAsia="es-ES_tradnl"/>
        </w:rPr>
      </w:pPr>
      <w:r w:rsidRPr="00B4638F">
        <w:rPr>
          <w:rFonts w:ascii="Bookman Old Style" w:hAnsi="Bookman Old Style" w:cs="Arial"/>
          <w:sz w:val="28"/>
          <w:szCs w:val="28"/>
        </w:rPr>
        <w:lastRenderedPageBreak/>
        <w:t xml:space="preserve">Así las cosas, comoquiera que </w:t>
      </w:r>
      <w:r>
        <w:rPr>
          <w:rFonts w:ascii="Bookman Old Style" w:hAnsi="Bookman Old Style" w:cs="Arial"/>
          <w:sz w:val="28"/>
          <w:szCs w:val="28"/>
        </w:rPr>
        <w:t>el proveído</w:t>
      </w:r>
      <w:r w:rsidRPr="00B4638F">
        <w:rPr>
          <w:rFonts w:ascii="Bookman Old Style" w:hAnsi="Bookman Old Style" w:cs="Arial"/>
          <w:sz w:val="28"/>
          <w:szCs w:val="28"/>
        </w:rPr>
        <w:t xml:space="preserve"> cuestionad</w:t>
      </w:r>
      <w:r>
        <w:rPr>
          <w:rFonts w:ascii="Bookman Old Style" w:hAnsi="Bookman Old Style" w:cs="Arial"/>
          <w:sz w:val="28"/>
          <w:szCs w:val="28"/>
        </w:rPr>
        <w:t>o</w:t>
      </w:r>
      <w:r w:rsidRPr="00B4638F">
        <w:rPr>
          <w:rFonts w:ascii="Bookman Old Style" w:hAnsi="Bookman Old Style" w:cs="Arial"/>
          <w:sz w:val="28"/>
          <w:szCs w:val="28"/>
        </w:rPr>
        <w:t xml:space="preserve"> en est</w:t>
      </w:r>
      <w:r>
        <w:rPr>
          <w:rFonts w:ascii="Bookman Old Style" w:hAnsi="Bookman Old Style" w:cs="Arial"/>
          <w:sz w:val="28"/>
          <w:szCs w:val="28"/>
        </w:rPr>
        <w:t>a queja reposa</w:t>
      </w:r>
      <w:r w:rsidRPr="00B4638F">
        <w:rPr>
          <w:rFonts w:ascii="Bookman Old Style" w:hAnsi="Bookman Old Style" w:cs="Arial"/>
          <w:sz w:val="28"/>
          <w:szCs w:val="28"/>
        </w:rPr>
        <w:t xml:space="preserve"> </w:t>
      </w:r>
      <w:r>
        <w:rPr>
          <w:rFonts w:ascii="Bookman Old Style" w:hAnsi="Bookman Old Style" w:cs="Arial"/>
          <w:sz w:val="28"/>
          <w:szCs w:val="28"/>
        </w:rPr>
        <w:t>en u</w:t>
      </w:r>
      <w:r w:rsidRPr="00B4638F">
        <w:rPr>
          <w:rFonts w:ascii="Bookman Old Style" w:hAnsi="Bookman Old Style" w:cs="Arial"/>
          <w:sz w:val="28"/>
          <w:szCs w:val="28"/>
        </w:rPr>
        <w:t xml:space="preserve">n discernimiento </w:t>
      </w:r>
      <w:r>
        <w:rPr>
          <w:rFonts w:ascii="Bookman Old Style" w:hAnsi="Bookman Old Style" w:cs="Arial"/>
          <w:sz w:val="28"/>
          <w:szCs w:val="28"/>
        </w:rPr>
        <w:t xml:space="preserve">o </w:t>
      </w:r>
      <w:r w:rsidRPr="00B4638F">
        <w:rPr>
          <w:rFonts w:ascii="Bookman Old Style" w:hAnsi="Bookman Old Style" w:cs="Arial"/>
          <w:sz w:val="28"/>
          <w:szCs w:val="28"/>
        </w:rPr>
        <w:t>interpretación razonable</w:t>
      </w:r>
      <w:r>
        <w:rPr>
          <w:rFonts w:ascii="Bookman Old Style" w:hAnsi="Bookman Old Style" w:cs="Arial"/>
          <w:sz w:val="28"/>
          <w:szCs w:val="28"/>
        </w:rPr>
        <w:t xml:space="preserve">, amén de </w:t>
      </w:r>
      <w:r w:rsidRPr="00B4638F">
        <w:rPr>
          <w:rFonts w:ascii="Bookman Old Style" w:hAnsi="Bookman Old Style" w:cs="Arial"/>
          <w:sz w:val="28"/>
          <w:szCs w:val="28"/>
        </w:rPr>
        <w:t>resulta</w:t>
      </w:r>
      <w:r>
        <w:rPr>
          <w:rFonts w:ascii="Bookman Old Style" w:hAnsi="Bookman Old Style" w:cs="Arial"/>
          <w:sz w:val="28"/>
          <w:szCs w:val="28"/>
        </w:rPr>
        <w:t>r</w:t>
      </w:r>
      <w:r w:rsidRPr="00B4638F">
        <w:rPr>
          <w:rFonts w:ascii="Bookman Old Style" w:hAnsi="Bookman Old Style" w:cs="Arial"/>
          <w:sz w:val="28"/>
          <w:szCs w:val="28"/>
        </w:rPr>
        <w:t xml:space="preserve"> notorio </w:t>
      </w:r>
      <w:r>
        <w:rPr>
          <w:rFonts w:ascii="Bookman Old Style" w:hAnsi="Bookman Old Style" w:cs="Arial"/>
          <w:sz w:val="28"/>
          <w:szCs w:val="28"/>
        </w:rPr>
        <w:t xml:space="preserve">que </w:t>
      </w:r>
      <w:r w:rsidRPr="00B4638F">
        <w:rPr>
          <w:rFonts w:ascii="Bookman Old Style" w:hAnsi="Bookman Old Style" w:cs="Arial"/>
          <w:sz w:val="28"/>
          <w:szCs w:val="28"/>
        </w:rPr>
        <w:t>el anhelo de</w:t>
      </w:r>
      <w:r w:rsidR="00C23E4E">
        <w:rPr>
          <w:rFonts w:ascii="Bookman Old Style" w:hAnsi="Bookman Old Style" w:cs="Arial"/>
          <w:sz w:val="28"/>
          <w:szCs w:val="28"/>
        </w:rPr>
        <w:t xml:space="preserve">l </w:t>
      </w:r>
      <w:r>
        <w:rPr>
          <w:rFonts w:ascii="Bookman Old Style" w:hAnsi="Bookman Old Style" w:cs="Arial"/>
          <w:sz w:val="28"/>
          <w:szCs w:val="28"/>
        </w:rPr>
        <w:t xml:space="preserve">impugnante es </w:t>
      </w:r>
      <w:r w:rsidRPr="00B4638F">
        <w:rPr>
          <w:rFonts w:ascii="Bookman Old Style" w:hAnsi="Bookman Old Style" w:cs="Arial"/>
          <w:sz w:val="28"/>
          <w:szCs w:val="28"/>
        </w:rPr>
        <w:t xml:space="preserve">anteponer su propio criterio para </w:t>
      </w:r>
      <w:r>
        <w:rPr>
          <w:rFonts w:ascii="Bookman Old Style" w:hAnsi="Bookman Old Style" w:cs="Arial"/>
          <w:sz w:val="28"/>
          <w:szCs w:val="28"/>
        </w:rPr>
        <w:t xml:space="preserve">aniquilar </w:t>
      </w:r>
      <w:r w:rsidRPr="00B4638F">
        <w:rPr>
          <w:rFonts w:ascii="Bookman Old Style" w:hAnsi="Bookman Old Style" w:cs="Arial"/>
          <w:sz w:val="28"/>
          <w:szCs w:val="28"/>
        </w:rPr>
        <w:t>el fallo que le desfavoreció, designio ajeno a esta vía subsidiaria, se</w:t>
      </w:r>
      <w:r>
        <w:rPr>
          <w:rFonts w:ascii="Bookman Old Style" w:hAnsi="Bookman Old Style" w:cs="Arial"/>
          <w:sz w:val="28"/>
          <w:szCs w:val="28"/>
        </w:rPr>
        <w:t>rá refrendada la sentencia protestada.</w:t>
      </w:r>
    </w:p>
    <w:p w14:paraId="67115454" w14:textId="77777777" w:rsidR="007F206B" w:rsidRDefault="007F206B" w:rsidP="00F55B6C">
      <w:pPr>
        <w:overflowPunct w:val="0"/>
        <w:autoSpaceDE w:val="0"/>
        <w:autoSpaceDN w:val="0"/>
        <w:adjustRightInd w:val="0"/>
        <w:spacing w:line="360" w:lineRule="auto"/>
        <w:jc w:val="center"/>
        <w:textAlignment w:val="baseline"/>
        <w:rPr>
          <w:rFonts w:ascii="Bookman Old Style" w:hAnsi="Bookman Old Style" w:cs="Arial"/>
          <w:b/>
          <w:bCs/>
          <w:sz w:val="28"/>
          <w:szCs w:val="28"/>
          <w:lang w:val="es-ES_tradnl"/>
        </w:rPr>
      </w:pPr>
    </w:p>
    <w:p w14:paraId="20CB3D8C" w14:textId="185DF1C8" w:rsidR="003F3FC2" w:rsidRDefault="003F3FC2" w:rsidP="00F55B6C">
      <w:pPr>
        <w:overflowPunct w:val="0"/>
        <w:autoSpaceDE w:val="0"/>
        <w:autoSpaceDN w:val="0"/>
        <w:adjustRightInd w:val="0"/>
        <w:spacing w:line="360" w:lineRule="auto"/>
        <w:jc w:val="center"/>
        <w:textAlignment w:val="baseline"/>
        <w:rPr>
          <w:rFonts w:ascii="Bookman Old Style" w:hAnsi="Bookman Old Style" w:cs="Arial"/>
          <w:b/>
          <w:bCs/>
          <w:sz w:val="28"/>
          <w:szCs w:val="28"/>
          <w:lang w:val="es-ES_tradnl"/>
        </w:rPr>
      </w:pPr>
      <w:r w:rsidRPr="003F3FC2">
        <w:rPr>
          <w:rFonts w:ascii="Bookman Old Style" w:hAnsi="Bookman Old Style" w:cs="Arial"/>
          <w:b/>
          <w:bCs/>
          <w:sz w:val="28"/>
          <w:szCs w:val="28"/>
          <w:lang w:val="es-ES_tradnl"/>
        </w:rPr>
        <w:t>DECISIÓN</w:t>
      </w:r>
    </w:p>
    <w:p w14:paraId="1E5A5748" w14:textId="77777777" w:rsidR="004F7339" w:rsidRPr="003F3FC2" w:rsidRDefault="004F7339" w:rsidP="003F3FC2">
      <w:pPr>
        <w:overflowPunct w:val="0"/>
        <w:autoSpaceDE w:val="0"/>
        <w:autoSpaceDN w:val="0"/>
        <w:adjustRightInd w:val="0"/>
        <w:spacing w:line="360" w:lineRule="auto"/>
        <w:ind w:firstLine="708"/>
        <w:jc w:val="center"/>
        <w:textAlignment w:val="baseline"/>
        <w:rPr>
          <w:rFonts w:ascii="Bookman Old Style" w:hAnsi="Bookman Old Style" w:cs="Arial"/>
          <w:b/>
          <w:bCs/>
          <w:sz w:val="28"/>
          <w:szCs w:val="28"/>
          <w:lang w:val="es-ES_tradnl"/>
        </w:rPr>
      </w:pPr>
    </w:p>
    <w:p w14:paraId="44F98D96" w14:textId="1158F54B" w:rsidR="003F3FC2" w:rsidRPr="003F3FC2" w:rsidRDefault="003F3FC2" w:rsidP="003F3FC2">
      <w:pPr>
        <w:spacing w:line="360" w:lineRule="auto"/>
        <w:ind w:firstLine="851"/>
        <w:jc w:val="both"/>
        <w:rPr>
          <w:rFonts w:ascii="Bookman Old Style" w:hAnsi="Bookman Old Style" w:cs="Arial"/>
          <w:bCs/>
          <w:sz w:val="28"/>
          <w:szCs w:val="28"/>
          <w:lang w:val="es-ES_tradnl"/>
        </w:rPr>
      </w:pPr>
      <w:r w:rsidRPr="003F3FC2">
        <w:rPr>
          <w:rFonts w:ascii="Bookman Old Style" w:hAnsi="Bookman Old Style" w:cs="Arial"/>
          <w:bCs/>
          <w:sz w:val="28"/>
          <w:szCs w:val="28"/>
          <w:lang w:val="es-ES_tradnl"/>
        </w:rPr>
        <w:t xml:space="preserve">En mérito de lo expuesto, la Corte Suprema de Justicia, en Sala de Casación Civil, administrando justicia en nombre de la República y por autoridad de la ley, resuelve </w:t>
      </w:r>
      <w:r w:rsidRPr="003F3FC2">
        <w:rPr>
          <w:rFonts w:ascii="Bookman Old Style" w:hAnsi="Bookman Old Style" w:cs="Arial"/>
          <w:b/>
          <w:bCs/>
          <w:sz w:val="28"/>
          <w:szCs w:val="28"/>
          <w:lang w:val="es-ES_tradnl"/>
        </w:rPr>
        <w:t xml:space="preserve">CONFIRMAR </w:t>
      </w:r>
      <w:r w:rsidRPr="003F3FC2">
        <w:rPr>
          <w:rFonts w:ascii="Bookman Old Style" w:hAnsi="Bookman Old Style" w:cs="Arial"/>
          <w:bCs/>
          <w:sz w:val="28"/>
          <w:szCs w:val="28"/>
          <w:lang w:val="es-ES_tradnl"/>
        </w:rPr>
        <w:t xml:space="preserve">el pronunciamiento de naturaleza, procedencia y fecha conocidas. </w:t>
      </w:r>
    </w:p>
    <w:p w14:paraId="34B98F6E" w14:textId="77777777" w:rsidR="003F3FC2" w:rsidRPr="003F3FC2" w:rsidRDefault="003F3FC2" w:rsidP="003F3FC2">
      <w:pPr>
        <w:spacing w:line="360" w:lineRule="auto"/>
        <w:ind w:firstLine="851"/>
        <w:jc w:val="both"/>
        <w:rPr>
          <w:rFonts w:ascii="Bookman Old Style" w:hAnsi="Bookman Old Style" w:cs="Arial"/>
          <w:bCs/>
          <w:sz w:val="28"/>
          <w:szCs w:val="28"/>
          <w:lang w:val="es-ES_tradnl"/>
        </w:rPr>
      </w:pPr>
    </w:p>
    <w:p w14:paraId="4DC043EE" w14:textId="77777777" w:rsidR="003F3FC2" w:rsidRPr="003F3FC2" w:rsidRDefault="003F3FC2" w:rsidP="003F3FC2">
      <w:pPr>
        <w:spacing w:line="360" w:lineRule="auto"/>
        <w:ind w:firstLine="851"/>
        <w:jc w:val="both"/>
        <w:rPr>
          <w:rFonts w:ascii="Bookman Old Style" w:hAnsi="Bookman Old Style" w:cs="Arial"/>
          <w:bCs/>
          <w:sz w:val="28"/>
          <w:szCs w:val="28"/>
          <w:lang w:val="es-ES_tradnl"/>
        </w:rPr>
      </w:pPr>
      <w:r w:rsidRPr="003F3FC2">
        <w:rPr>
          <w:rFonts w:ascii="Bookman Old Style" w:hAnsi="Bookman Old Style" w:cs="Arial"/>
          <w:bCs/>
          <w:sz w:val="28"/>
          <w:szCs w:val="28"/>
          <w:lang w:val="es-ES_tradnl"/>
        </w:rPr>
        <w:t>Infórmese a las partes e intervinientes por el medio más expedito y remítase el expediente a la Corte Constitucional para su eventual revisión.</w:t>
      </w:r>
    </w:p>
    <w:p w14:paraId="63FADA8C" w14:textId="77777777" w:rsidR="003F3FC2" w:rsidRPr="003F3FC2" w:rsidRDefault="003F3FC2" w:rsidP="003F3FC2">
      <w:pPr>
        <w:spacing w:line="360" w:lineRule="auto"/>
        <w:ind w:firstLine="851"/>
        <w:jc w:val="both"/>
        <w:rPr>
          <w:rFonts w:ascii="Bookman Old Style" w:hAnsi="Bookman Old Style" w:cs="Arial"/>
          <w:b/>
          <w:bCs/>
          <w:sz w:val="28"/>
          <w:szCs w:val="28"/>
          <w:lang w:val="es-ES"/>
        </w:rPr>
      </w:pPr>
      <w:r w:rsidRPr="003F3FC2">
        <w:rPr>
          <w:rFonts w:ascii="Bookman Old Style" w:hAnsi="Bookman Old Style" w:cs="Arial"/>
          <w:b/>
          <w:bCs/>
          <w:sz w:val="28"/>
          <w:szCs w:val="28"/>
          <w:lang w:val="es-ES"/>
        </w:rPr>
        <w:t xml:space="preserve">   </w:t>
      </w:r>
    </w:p>
    <w:p w14:paraId="299F2BF0" w14:textId="77777777" w:rsidR="003F3FC2" w:rsidRPr="003F3FC2" w:rsidRDefault="003F3FC2" w:rsidP="003F3FC2">
      <w:pPr>
        <w:tabs>
          <w:tab w:val="left" w:pos="700"/>
        </w:tabs>
        <w:overflowPunct w:val="0"/>
        <w:autoSpaceDE w:val="0"/>
        <w:autoSpaceDN w:val="0"/>
        <w:adjustRightInd w:val="0"/>
        <w:spacing w:line="480" w:lineRule="auto"/>
        <w:ind w:hanging="425"/>
        <w:jc w:val="center"/>
        <w:textAlignment w:val="baseline"/>
        <w:rPr>
          <w:rFonts w:ascii="Bookman Old Style" w:hAnsi="Bookman Old Style" w:cs="Arial"/>
          <w:b/>
          <w:bCs/>
          <w:sz w:val="28"/>
          <w:szCs w:val="28"/>
        </w:rPr>
      </w:pPr>
      <w:r w:rsidRPr="003F3FC2">
        <w:rPr>
          <w:rFonts w:ascii="Bookman Old Style" w:hAnsi="Bookman Old Style" w:cs="Arial"/>
          <w:b/>
          <w:bCs/>
          <w:sz w:val="28"/>
          <w:szCs w:val="28"/>
          <w:lang w:val="es-ES_tradnl"/>
        </w:rPr>
        <w:t>NOTIFÍQUESE Y CÚMPLASE</w:t>
      </w:r>
    </w:p>
    <w:p w14:paraId="5A65726C" w14:textId="77777777" w:rsidR="003F3FC2" w:rsidRPr="003F3FC2" w:rsidRDefault="003F3FC2" w:rsidP="003F3FC2">
      <w:pPr>
        <w:tabs>
          <w:tab w:val="left" w:pos="3330"/>
          <w:tab w:val="left" w:pos="3945"/>
          <w:tab w:val="left" w:pos="4545"/>
          <w:tab w:val="left" w:pos="4950"/>
        </w:tabs>
        <w:overflowPunct w:val="0"/>
        <w:autoSpaceDE w:val="0"/>
        <w:autoSpaceDN w:val="0"/>
        <w:adjustRightInd w:val="0"/>
        <w:spacing w:line="360" w:lineRule="auto"/>
        <w:textAlignment w:val="baseline"/>
        <w:rPr>
          <w:rFonts w:ascii="Bookman Old Style" w:hAnsi="Bookman Old Style" w:cs="Arial"/>
          <w:b/>
          <w:bCs/>
          <w:sz w:val="28"/>
          <w:szCs w:val="28"/>
        </w:rPr>
      </w:pPr>
      <w:r w:rsidRPr="003F3FC2">
        <w:rPr>
          <w:rFonts w:ascii="Bookman Old Style" w:hAnsi="Bookman Old Style" w:cs="Arial"/>
          <w:b/>
          <w:bCs/>
          <w:sz w:val="28"/>
          <w:szCs w:val="28"/>
        </w:rPr>
        <w:tab/>
      </w:r>
      <w:r w:rsidRPr="003F3FC2">
        <w:rPr>
          <w:rFonts w:ascii="Bookman Old Style" w:hAnsi="Bookman Old Style" w:cs="Arial"/>
          <w:b/>
          <w:bCs/>
          <w:sz w:val="28"/>
          <w:szCs w:val="28"/>
        </w:rPr>
        <w:tab/>
      </w:r>
      <w:r w:rsidRPr="003F3FC2">
        <w:rPr>
          <w:rFonts w:ascii="Bookman Old Style" w:hAnsi="Bookman Old Style" w:cs="Arial"/>
          <w:b/>
          <w:bCs/>
          <w:sz w:val="28"/>
          <w:szCs w:val="28"/>
        </w:rPr>
        <w:tab/>
      </w:r>
      <w:r w:rsidRPr="003F3FC2">
        <w:rPr>
          <w:rFonts w:ascii="Bookman Old Style" w:hAnsi="Bookman Old Style" w:cs="Arial"/>
          <w:b/>
          <w:bCs/>
          <w:sz w:val="28"/>
          <w:szCs w:val="28"/>
        </w:rPr>
        <w:tab/>
      </w:r>
    </w:p>
    <w:p w14:paraId="00E38A15" w14:textId="77777777" w:rsidR="003F3FC2" w:rsidRPr="003F3FC2" w:rsidRDefault="003F3FC2" w:rsidP="003F3FC2">
      <w:pPr>
        <w:tabs>
          <w:tab w:val="left" w:pos="3330"/>
          <w:tab w:val="left" w:pos="3945"/>
          <w:tab w:val="left" w:pos="4545"/>
          <w:tab w:val="left" w:pos="4950"/>
        </w:tabs>
        <w:overflowPunct w:val="0"/>
        <w:autoSpaceDE w:val="0"/>
        <w:autoSpaceDN w:val="0"/>
        <w:adjustRightInd w:val="0"/>
        <w:spacing w:line="360" w:lineRule="auto"/>
        <w:textAlignment w:val="baseline"/>
        <w:rPr>
          <w:rFonts w:ascii="Bookman Old Style" w:hAnsi="Bookman Old Style" w:cs="Arial"/>
          <w:b/>
          <w:bCs/>
          <w:sz w:val="28"/>
          <w:szCs w:val="28"/>
        </w:rPr>
      </w:pPr>
    </w:p>
    <w:p w14:paraId="3434E9DF" w14:textId="77777777" w:rsidR="003F3FC2" w:rsidRPr="003F3FC2" w:rsidRDefault="003F3FC2" w:rsidP="003F3FC2">
      <w:pPr>
        <w:tabs>
          <w:tab w:val="left" w:pos="2970"/>
          <w:tab w:val="left" w:pos="3330"/>
        </w:tabs>
        <w:overflowPunct w:val="0"/>
        <w:autoSpaceDE w:val="0"/>
        <w:autoSpaceDN w:val="0"/>
        <w:adjustRightInd w:val="0"/>
        <w:textAlignment w:val="baseline"/>
        <w:rPr>
          <w:rFonts w:ascii="Bookman Old Style" w:hAnsi="Bookman Old Style" w:cs="Arial"/>
          <w:b/>
          <w:bCs/>
          <w:sz w:val="28"/>
          <w:szCs w:val="28"/>
        </w:rPr>
      </w:pPr>
      <w:r w:rsidRPr="003F3FC2">
        <w:rPr>
          <w:rFonts w:ascii="Bookman Old Style" w:hAnsi="Bookman Old Style" w:cs="Arial"/>
          <w:b/>
          <w:bCs/>
          <w:sz w:val="28"/>
          <w:szCs w:val="28"/>
        </w:rPr>
        <w:tab/>
      </w:r>
    </w:p>
    <w:p w14:paraId="6CFCEA39" w14:textId="77777777" w:rsidR="003F3FC2" w:rsidRPr="003F3FC2" w:rsidRDefault="003F3FC2" w:rsidP="003F3FC2">
      <w:pPr>
        <w:tabs>
          <w:tab w:val="left" w:pos="3405"/>
        </w:tabs>
        <w:overflowPunct w:val="0"/>
        <w:autoSpaceDE w:val="0"/>
        <w:autoSpaceDN w:val="0"/>
        <w:adjustRightInd w:val="0"/>
        <w:spacing w:line="360" w:lineRule="auto"/>
        <w:jc w:val="center"/>
        <w:textAlignment w:val="baseline"/>
        <w:rPr>
          <w:rFonts w:ascii="Bookman Old Style" w:hAnsi="Bookman Old Style" w:cs="Arial"/>
          <w:b/>
          <w:bCs/>
          <w:sz w:val="28"/>
          <w:szCs w:val="28"/>
        </w:rPr>
      </w:pPr>
      <w:r w:rsidRPr="003F3FC2">
        <w:rPr>
          <w:rFonts w:ascii="Bookman Old Style" w:hAnsi="Bookman Old Style" w:cs="Arial"/>
          <w:b/>
          <w:bCs/>
          <w:sz w:val="28"/>
          <w:szCs w:val="28"/>
        </w:rPr>
        <w:t>FRANCISCO TERNERA BARRIOS</w:t>
      </w:r>
    </w:p>
    <w:p w14:paraId="3DB28CB9" w14:textId="77777777" w:rsidR="003F3FC2" w:rsidRPr="003F3FC2" w:rsidRDefault="003F3FC2" w:rsidP="003F3FC2">
      <w:pPr>
        <w:tabs>
          <w:tab w:val="left" w:pos="4935"/>
        </w:tabs>
        <w:overflowPunct w:val="0"/>
        <w:autoSpaceDE w:val="0"/>
        <w:autoSpaceDN w:val="0"/>
        <w:adjustRightInd w:val="0"/>
        <w:spacing w:line="360" w:lineRule="auto"/>
        <w:jc w:val="center"/>
        <w:textAlignment w:val="baseline"/>
        <w:rPr>
          <w:rFonts w:ascii="Bookman Old Style" w:hAnsi="Bookman Old Style" w:cs="Arial"/>
          <w:bCs/>
          <w:sz w:val="28"/>
          <w:szCs w:val="28"/>
        </w:rPr>
      </w:pPr>
      <w:r w:rsidRPr="003F3FC2">
        <w:rPr>
          <w:rFonts w:ascii="Bookman Old Style" w:hAnsi="Bookman Old Style" w:cs="Arial"/>
          <w:bCs/>
          <w:sz w:val="28"/>
          <w:szCs w:val="28"/>
        </w:rPr>
        <w:t>Presidente de Sala</w:t>
      </w:r>
    </w:p>
    <w:p w14:paraId="05CD68C2" w14:textId="77777777" w:rsidR="003F3FC2" w:rsidRPr="003F3FC2" w:rsidRDefault="003F3FC2" w:rsidP="003F3FC2">
      <w:pPr>
        <w:tabs>
          <w:tab w:val="left" w:pos="4785"/>
        </w:tabs>
        <w:overflowPunct w:val="0"/>
        <w:autoSpaceDE w:val="0"/>
        <w:autoSpaceDN w:val="0"/>
        <w:adjustRightInd w:val="0"/>
        <w:spacing w:line="480" w:lineRule="auto"/>
        <w:textAlignment w:val="baseline"/>
        <w:rPr>
          <w:rFonts w:ascii="Bookman Old Style" w:hAnsi="Bookman Old Style" w:cs="Arial"/>
          <w:b/>
          <w:bCs/>
          <w:sz w:val="28"/>
          <w:szCs w:val="28"/>
        </w:rPr>
      </w:pPr>
    </w:p>
    <w:p w14:paraId="34387BE5" w14:textId="77777777" w:rsidR="003F3FC2" w:rsidRPr="003F3FC2" w:rsidRDefault="003F3FC2" w:rsidP="003F3FC2">
      <w:pPr>
        <w:tabs>
          <w:tab w:val="left" w:pos="4785"/>
        </w:tabs>
        <w:overflowPunct w:val="0"/>
        <w:autoSpaceDE w:val="0"/>
        <w:autoSpaceDN w:val="0"/>
        <w:adjustRightInd w:val="0"/>
        <w:spacing w:line="480" w:lineRule="auto"/>
        <w:textAlignment w:val="baseline"/>
        <w:rPr>
          <w:rFonts w:ascii="Bookman Old Style" w:hAnsi="Bookman Old Style" w:cs="Arial"/>
          <w:b/>
          <w:bCs/>
          <w:sz w:val="28"/>
          <w:szCs w:val="28"/>
        </w:rPr>
      </w:pPr>
    </w:p>
    <w:p w14:paraId="75F5DA7A" w14:textId="77777777" w:rsidR="003F3FC2" w:rsidRPr="003F3FC2" w:rsidRDefault="003F3FC2" w:rsidP="003F3FC2">
      <w:pPr>
        <w:tabs>
          <w:tab w:val="left" w:pos="1035"/>
          <w:tab w:val="left" w:pos="1560"/>
          <w:tab w:val="center" w:pos="4136"/>
        </w:tabs>
        <w:overflowPunct w:val="0"/>
        <w:autoSpaceDE w:val="0"/>
        <w:autoSpaceDN w:val="0"/>
        <w:adjustRightInd w:val="0"/>
        <w:spacing w:line="360" w:lineRule="auto"/>
        <w:jc w:val="center"/>
        <w:textAlignment w:val="baseline"/>
        <w:rPr>
          <w:rFonts w:ascii="Bookman Old Style" w:hAnsi="Bookman Old Style" w:cs="Arial"/>
          <w:b/>
          <w:bCs/>
          <w:sz w:val="28"/>
          <w:szCs w:val="28"/>
        </w:rPr>
      </w:pPr>
      <w:r w:rsidRPr="003F3FC2">
        <w:rPr>
          <w:rFonts w:ascii="Bookman Old Style" w:hAnsi="Bookman Old Style" w:cs="Arial"/>
          <w:b/>
          <w:sz w:val="28"/>
          <w:szCs w:val="28"/>
          <w:lang w:val="es-ES_tradnl"/>
        </w:rPr>
        <w:t>ÁLVARO FERNANDO GARCÍA RESTREPO</w:t>
      </w:r>
    </w:p>
    <w:p w14:paraId="73CB75CD" w14:textId="77777777" w:rsidR="003F3FC2" w:rsidRPr="003F3FC2" w:rsidRDefault="003F3FC2" w:rsidP="003F3FC2">
      <w:pPr>
        <w:overflowPunct w:val="0"/>
        <w:autoSpaceDE w:val="0"/>
        <w:autoSpaceDN w:val="0"/>
        <w:adjustRightInd w:val="0"/>
        <w:spacing w:line="480" w:lineRule="auto"/>
        <w:textAlignment w:val="baseline"/>
        <w:rPr>
          <w:rFonts w:ascii="Bookman Old Style" w:hAnsi="Bookman Old Style" w:cs="Arial"/>
          <w:b/>
          <w:bCs/>
          <w:sz w:val="28"/>
          <w:szCs w:val="28"/>
        </w:rPr>
      </w:pPr>
    </w:p>
    <w:p w14:paraId="5F73207F" w14:textId="77777777" w:rsidR="003F3FC2" w:rsidRPr="003F3FC2" w:rsidRDefault="003F3FC2" w:rsidP="003F3FC2">
      <w:pPr>
        <w:overflowPunct w:val="0"/>
        <w:autoSpaceDE w:val="0"/>
        <w:autoSpaceDN w:val="0"/>
        <w:adjustRightInd w:val="0"/>
        <w:spacing w:line="480" w:lineRule="auto"/>
        <w:jc w:val="center"/>
        <w:textAlignment w:val="baseline"/>
        <w:rPr>
          <w:rFonts w:ascii="Bookman Old Style" w:hAnsi="Bookman Old Style" w:cs="Arial"/>
          <w:b/>
          <w:bCs/>
          <w:sz w:val="28"/>
          <w:szCs w:val="28"/>
        </w:rPr>
      </w:pPr>
    </w:p>
    <w:p w14:paraId="5EB29F0C" w14:textId="77777777" w:rsidR="003F3FC2" w:rsidRPr="003F3FC2" w:rsidRDefault="003F3FC2" w:rsidP="003F3FC2">
      <w:pPr>
        <w:tabs>
          <w:tab w:val="left" w:pos="1560"/>
        </w:tabs>
        <w:overflowPunct w:val="0"/>
        <w:autoSpaceDE w:val="0"/>
        <w:autoSpaceDN w:val="0"/>
        <w:adjustRightInd w:val="0"/>
        <w:spacing w:line="360" w:lineRule="auto"/>
        <w:jc w:val="center"/>
        <w:textAlignment w:val="baseline"/>
        <w:rPr>
          <w:rFonts w:ascii="Bookman Old Style" w:hAnsi="Bookman Old Style" w:cs="Arial"/>
          <w:sz w:val="28"/>
          <w:lang w:val="es-ES_tradnl"/>
        </w:rPr>
      </w:pPr>
    </w:p>
    <w:p w14:paraId="058C7351" w14:textId="77777777" w:rsidR="003F3FC2" w:rsidRPr="003F3FC2" w:rsidRDefault="003F3FC2" w:rsidP="003F3FC2">
      <w:pPr>
        <w:overflowPunct w:val="0"/>
        <w:autoSpaceDE w:val="0"/>
        <w:autoSpaceDN w:val="0"/>
        <w:adjustRightInd w:val="0"/>
        <w:spacing w:line="360" w:lineRule="auto"/>
        <w:jc w:val="center"/>
        <w:textAlignment w:val="baseline"/>
        <w:rPr>
          <w:rFonts w:ascii="Bookman Old Style" w:hAnsi="Bookman Old Style"/>
          <w:b/>
          <w:sz w:val="28"/>
          <w:szCs w:val="28"/>
          <w:lang w:val="es-ES_tradnl"/>
        </w:rPr>
      </w:pPr>
      <w:r w:rsidRPr="003F3FC2">
        <w:rPr>
          <w:rFonts w:ascii="Bookman Old Style" w:hAnsi="Bookman Old Style"/>
          <w:b/>
          <w:sz w:val="28"/>
          <w:szCs w:val="28"/>
          <w:lang w:val="es-ES_tradnl"/>
        </w:rPr>
        <w:t>HILDA GONZÁLEZ NEIRA</w:t>
      </w:r>
    </w:p>
    <w:p w14:paraId="7830A9BD" w14:textId="77777777" w:rsidR="003F3FC2" w:rsidRPr="003F3FC2" w:rsidRDefault="003F3FC2" w:rsidP="003F3FC2">
      <w:pPr>
        <w:tabs>
          <w:tab w:val="left" w:pos="3435"/>
        </w:tabs>
        <w:overflowPunct w:val="0"/>
        <w:autoSpaceDE w:val="0"/>
        <w:autoSpaceDN w:val="0"/>
        <w:adjustRightInd w:val="0"/>
        <w:spacing w:line="480" w:lineRule="auto"/>
        <w:jc w:val="center"/>
        <w:textAlignment w:val="baseline"/>
        <w:rPr>
          <w:rFonts w:ascii="Bookman Old Style" w:hAnsi="Bookman Old Style" w:cs="Arial"/>
          <w:b/>
          <w:bCs/>
          <w:sz w:val="28"/>
          <w:szCs w:val="28"/>
        </w:rPr>
      </w:pPr>
    </w:p>
    <w:p w14:paraId="7DECA427" w14:textId="77777777" w:rsidR="003F3FC2" w:rsidRPr="003F3FC2" w:rsidRDefault="003F3FC2" w:rsidP="003F3FC2">
      <w:pPr>
        <w:tabs>
          <w:tab w:val="left" w:pos="3435"/>
        </w:tabs>
        <w:overflowPunct w:val="0"/>
        <w:autoSpaceDE w:val="0"/>
        <w:autoSpaceDN w:val="0"/>
        <w:adjustRightInd w:val="0"/>
        <w:spacing w:line="480" w:lineRule="auto"/>
        <w:jc w:val="center"/>
        <w:textAlignment w:val="baseline"/>
        <w:rPr>
          <w:rFonts w:ascii="Bookman Old Style" w:hAnsi="Bookman Old Style" w:cs="Arial"/>
          <w:b/>
          <w:bCs/>
          <w:sz w:val="28"/>
          <w:szCs w:val="28"/>
        </w:rPr>
      </w:pPr>
    </w:p>
    <w:p w14:paraId="7A626CF7" w14:textId="77777777" w:rsidR="003F3FC2" w:rsidRPr="003F3FC2" w:rsidRDefault="003F3FC2" w:rsidP="003F3FC2">
      <w:pPr>
        <w:tabs>
          <w:tab w:val="left" w:pos="3435"/>
        </w:tabs>
        <w:overflowPunct w:val="0"/>
        <w:autoSpaceDE w:val="0"/>
        <w:autoSpaceDN w:val="0"/>
        <w:adjustRightInd w:val="0"/>
        <w:spacing w:line="480" w:lineRule="auto"/>
        <w:jc w:val="center"/>
        <w:textAlignment w:val="baseline"/>
        <w:rPr>
          <w:rFonts w:ascii="Bookman Old Style" w:hAnsi="Bookman Old Style" w:cs="Arial"/>
          <w:b/>
          <w:bCs/>
          <w:sz w:val="28"/>
          <w:szCs w:val="28"/>
        </w:rPr>
      </w:pPr>
      <w:r w:rsidRPr="003F3FC2">
        <w:rPr>
          <w:rFonts w:ascii="Bookman Old Style" w:hAnsi="Bookman Old Style" w:cs="Arial"/>
          <w:b/>
          <w:bCs/>
          <w:sz w:val="28"/>
          <w:szCs w:val="28"/>
        </w:rPr>
        <w:t>AROLDO WILSON QUIROZ MONSALVO</w:t>
      </w:r>
    </w:p>
    <w:p w14:paraId="2CFB493A" w14:textId="77777777" w:rsidR="003F3FC2" w:rsidRPr="003F3FC2" w:rsidRDefault="003F3FC2" w:rsidP="003F3FC2">
      <w:pPr>
        <w:overflowPunct w:val="0"/>
        <w:autoSpaceDE w:val="0"/>
        <w:autoSpaceDN w:val="0"/>
        <w:adjustRightInd w:val="0"/>
        <w:spacing w:line="360" w:lineRule="auto"/>
        <w:jc w:val="center"/>
        <w:textAlignment w:val="baseline"/>
        <w:rPr>
          <w:rFonts w:ascii="Bookman Old Style" w:hAnsi="Bookman Old Style" w:cs="Arial"/>
          <w:b/>
          <w:bCs/>
          <w:sz w:val="28"/>
          <w:szCs w:val="28"/>
        </w:rPr>
      </w:pPr>
    </w:p>
    <w:p w14:paraId="3F34F589" w14:textId="77777777" w:rsidR="003F3FC2" w:rsidRPr="003F3FC2" w:rsidRDefault="003F3FC2" w:rsidP="003F3FC2">
      <w:pPr>
        <w:overflowPunct w:val="0"/>
        <w:autoSpaceDE w:val="0"/>
        <w:autoSpaceDN w:val="0"/>
        <w:adjustRightInd w:val="0"/>
        <w:spacing w:line="480" w:lineRule="auto"/>
        <w:textAlignment w:val="baseline"/>
        <w:rPr>
          <w:rFonts w:ascii="Bookman Old Style" w:hAnsi="Bookman Old Style" w:cs="Arial"/>
          <w:b/>
          <w:bCs/>
          <w:sz w:val="28"/>
          <w:szCs w:val="28"/>
        </w:rPr>
      </w:pPr>
    </w:p>
    <w:p w14:paraId="6DBC5CD6" w14:textId="77777777" w:rsidR="003F3FC2" w:rsidRPr="003F3FC2" w:rsidRDefault="003F3FC2" w:rsidP="003F3FC2">
      <w:pPr>
        <w:overflowPunct w:val="0"/>
        <w:autoSpaceDE w:val="0"/>
        <w:autoSpaceDN w:val="0"/>
        <w:adjustRightInd w:val="0"/>
        <w:spacing w:line="360" w:lineRule="auto"/>
        <w:jc w:val="center"/>
        <w:textAlignment w:val="baseline"/>
        <w:rPr>
          <w:rFonts w:ascii="Bookman Old Style" w:hAnsi="Bookman Old Style" w:cs="Arial"/>
          <w:b/>
          <w:bCs/>
          <w:sz w:val="28"/>
          <w:szCs w:val="28"/>
        </w:rPr>
      </w:pPr>
      <w:r w:rsidRPr="003F3FC2">
        <w:rPr>
          <w:rFonts w:ascii="Bookman Old Style" w:hAnsi="Bookman Old Style" w:cs="Arial"/>
          <w:b/>
          <w:bCs/>
          <w:sz w:val="28"/>
          <w:szCs w:val="28"/>
        </w:rPr>
        <w:t>LUIS ALONSO RICO PUERTA</w:t>
      </w:r>
    </w:p>
    <w:p w14:paraId="6E42764D" w14:textId="77777777" w:rsidR="003F3FC2" w:rsidRPr="003F3FC2" w:rsidRDefault="003F3FC2" w:rsidP="003F3FC2">
      <w:pPr>
        <w:tabs>
          <w:tab w:val="left" w:pos="4770"/>
        </w:tabs>
        <w:overflowPunct w:val="0"/>
        <w:autoSpaceDE w:val="0"/>
        <w:autoSpaceDN w:val="0"/>
        <w:adjustRightInd w:val="0"/>
        <w:spacing w:line="360" w:lineRule="auto"/>
        <w:textAlignment w:val="baseline"/>
        <w:rPr>
          <w:rFonts w:ascii="Bookman Old Style" w:hAnsi="Bookman Old Style" w:cs="Arial"/>
          <w:b/>
          <w:bCs/>
          <w:sz w:val="28"/>
          <w:szCs w:val="28"/>
        </w:rPr>
      </w:pPr>
      <w:r w:rsidRPr="003F3FC2">
        <w:rPr>
          <w:rFonts w:ascii="Bookman Old Style" w:hAnsi="Bookman Old Style" w:cs="Arial"/>
          <w:b/>
          <w:bCs/>
          <w:sz w:val="28"/>
          <w:szCs w:val="28"/>
        </w:rPr>
        <w:tab/>
      </w:r>
    </w:p>
    <w:p w14:paraId="06C14BDB" w14:textId="77777777" w:rsidR="003F3FC2" w:rsidRPr="003F3FC2" w:rsidRDefault="003F3FC2" w:rsidP="003F3FC2">
      <w:pPr>
        <w:overflowPunct w:val="0"/>
        <w:autoSpaceDE w:val="0"/>
        <w:autoSpaceDN w:val="0"/>
        <w:adjustRightInd w:val="0"/>
        <w:spacing w:line="480" w:lineRule="auto"/>
        <w:textAlignment w:val="baseline"/>
        <w:rPr>
          <w:rFonts w:ascii="Bookman Old Style" w:hAnsi="Bookman Old Style" w:cs="Arial"/>
          <w:b/>
          <w:bCs/>
          <w:sz w:val="28"/>
          <w:szCs w:val="28"/>
        </w:rPr>
      </w:pPr>
    </w:p>
    <w:p w14:paraId="4087C8FB" w14:textId="77777777" w:rsidR="003F3FC2" w:rsidRPr="003F3FC2" w:rsidRDefault="003F3FC2" w:rsidP="003F3FC2">
      <w:pPr>
        <w:tabs>
          <w:tab w:val="left" w:pos="3405"/>
        </w:tabs>
        <w:overflowPunct w:val="0"/>
        <w:autoSpaceDE w:val="0"/>
        <w:autoSpaceDN w:val="0"/>
        <w:adjustRightInd w:val="0"/>
        <w:spacing w:line="360" w:lineRule="auto"/>
        <w:jc w:val="center"/>
        <w:textAlignment w:val="baseline"/>
        <w:rPr>
          <w:rFonts w:ascii="Bookman Old Style" w:hAnsi="Bookman Old Style" w:cs="Arial"/>
          <w:b/>
          <w:bCs/>
          <w:sz w:val="28"/>
          <w:szCs w:val="28"/>
        </w:rPr>
      </w:pPr>
      <w:bookmarkStart w:id="1" w:name="_Hlk58597404"/>
      <w:r w:rsidRPr="003F3FC2">
        <w:rPr>
          <w:rFonts w:ascii="Bookman Old Style" w:hAnsi="Bookman Old Style" w:cs="Arial"/>
          <w:b/>
          <w:bCs/>
          <w:sz w:val="28"/>
          <w:szCs w:val="28"/>
        </w:rPr>
        <w:t>OCTAVIO AUGUSTO TEJEIRO DUQUE</w:t>
      </w:r>
    </w:p>
    <w:p w14:paraId="34361668" w14:textId="77777777" w:rsidR="003F3FC2" w:rsidRPr="003F3FC2" w:rsidRDefault="003F3FC2" w:rsidP="003F3FC2">
      <w:pPr>
        <w:tabs>
          <w:tab w:val="left" w:pos="3405"/>
        </w:tabs>
        <w:overflowPunct w:val="0"/>
        <w:autoSpaceDE w:val="0"/>
        <w:autoSpaceDN w:val="0"/>
        <w:adjustRightInd w:val="0"/>
        <w:spacing w:line="360" w:lineRule="auto"/>
        <w:jc w:val="center"/>
        <w:textAlignment w:val="baseline"/>
        <w:rPr>
          <w:rFonts w:ascii="Bookman Old Style" w:hAnsi="Bookman Old Style" w:cs="Arial"/>
          <w:b/>
          <w:bCs/>
          <w:sz w:val="28"/>
          <w:szCs w:val="28"/>
        </w:rPr>
      </w:pPr>
    </w:p>
    <w:p w14:paraId="1A0669BA" w14:textId="77777777" w:rsidR="003F3FC2" w:rsidRPr="003F3FC2" w:rsidRDefault="003F3FC2" w:rsidP="003F3FC2">
      <w:pPr>
        <w:tabs>
          <w:tab w:val="left" w:pos="3405"/>
        </w:tabs>
        <w:overflowPunct w:val="0"/>
        <w:autoSpaceDE w:val="0"/>
        <w:autoSpaceDN w:val="0"/>
        <w:adjustRightInd w:val="0"/>
        <w:spacing w:line="360" w:lineRule="auto"/>
        <w:jc w:val="center"/>
        <w:textAlignment w:val="baseline"/>
        <w:rPr>
          <w:rFonts w:ascii="Bookman Old Style" w:hAnsi="Bookman Old Style" w:cs="Arial"/>
          <w:b/>
          <w:bCs/>
          <w:sz w:val="28"/>
          <w:szCs w:val="28"/>
        </w:rPr>
      </w:pPr>
    </w:p>
    <w:p w14:paraId="0312C52A" w14:textId="77777777" w:rsidR="003F3FC2" w:rsidRPr="003F3FC2" w:rsidRDefault="003F3FC2" w:rsidP="003F3FC2">
      <w:pPr>
        <w:tabs>
          <w:tab w:val="left" w:pos="3405"/>
        </w:tabs>
        <w:overflowPunct w:val="0"/>
        <w:autoSpaceDE w:val="0"/>
        <w:autoSpaceDN w:val="0"/>
        <w:adjustRightInd w:val="0"/>
        <w:spacing w:line="360" w:lineRule="auto"/>
        <w:jc w:val="center"/>
        <w:textAlignment w:val="baseline"/>
        <w:rPr>
          <w:rFonts w:ascii="Bookman Old Style" w:hAnsi="Bookman Old Style" w:cs="Arial"/>
          <w:b/>
          <w:bCs/>
          <w:sz w:val="28"/>
          <w:szCs w:val="28"/>
        </w:rPr>
      </w:pPr>
    </w:p>
    <w:bookmarkEnd w:id="1"/>
    <w:p w14:paraId="57797169" w14:textId="77777777" w:rsidR="003257EE" w:rsidRDefault="003257EE" w:rsidP="003F3FC2">
      <w:pPr>
        <w:spacing w:line="360" w:lineRule="auto"/>
        <w:ind w:firstLine="708"/>
        <w:jc w:val="both"/>
      </w:pPr>
    </w:p>
    <w:sectPr w:rsidR="003257EE" w:rsidSect="00DB1D06">
      <w:headerReference w:type="default" r:id="rId10"/>
      <w:footerReference w:type="even" r:id="rId11"/>
      <w:footerReference w:type="default" r:id="rId12"/>
      <w:headerReference w:type="first" r:id="rId13"/>
      <w:pgSz w:w="12242" w:h="18722" w:code="14"/>
      <w:pgMar w:top="2268" w:right="1701" w:bottom="1559" w:left="1701" w:header="141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A5412" w14:textId="77777777" w:rsidR="00882C40" w:rsidRDefault="00882C40" w:rsidP="003257EE">
      <w:r>
        <w:separator/>
      </w:r>
    </w:p>
  </w:endnote>
  <w:endnote w:type="continuationSeparator" w:id="0">
    <w:p w14:paraId="658D9CC5" w14:textId="77777777" w:rsidR="00882C40" w:rsidRDefault="00882C40" w:rsidP="0032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6914" w14:textId="77777777" w:rsidR="00E72064" w:rsidRDefault="00B473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551376" w14:textId="77777777" w:rsidR="00E72064" w:rsidRDefault="009C5B37">
    <w:pPr>
      <w:pStyle w:val="Piedepgina"/>
      <w:ind w:right="360"/>
    </w:pPr>
  </w:p>
  <w:p w14:paraId="28D85EA0" w14:textId="77777777" w:rsidR="00E72064" w:rsidRDefault="009C5B37"/>
  <w:p w14:paraId="0FB2E1EA" w14:textId="77777777" w:rsidR="00E72064" w:rsidRDefault="009C5B37"/>
  <w:p w14:paraId="5C9193EA" w14:textId="77777777" w:rsidR="00E72064" w:rsidRDefault="009C5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98455" w14:textId="0C2F1A47" w:rsidR="00E72064" w:rsidRPr="00FF6499" w:rsidRDefault="00B473B3">
    <w:pPr>
      <w:pStyle w:val="Piedepgina"/>
      <w:jc w:val="right"/>
      <w:rPr>
        <w:sz w:val="20"/>
      </w:rPr>
    </w:pPr>
    <w:r w:rsidRPr="00FF6499">
      <w:rPr>
        <w:sz w:val="20"/>
      </w:rPr>
      <w:fldChar w:fldCharType="begin"/>
    </w:r>
    <w:r>
      <w:rPr>
        <w:sz w:val="20"/>
      </w:rPr>
      <w:instrText>PAGE</w:instrText>
    </w:r>
    <w:r w:rsidRPr="00FF6499">
      <w:rPr>
        <w:sz w:val="20"/>
      </w:rPr>
      <w:instrText xml:space="preserve">   \* MERGEFORMAT</w:instrText>
    </w:r>
    <w:r w:rsidRPr="00FF6499">
      <w:rPr>
        <w:sz w:val="20"/>
      </w:rPr>
      <w:fldChar w:fldCharType="separate"/>
    </w:r>
    <w:r w:rsidR="002D438C" w:rsidRPr="002D438C">
      <w:rPr>
        <w:noProof/>
        <w:sz w:val="20"/>
        <w:lang w:val="es-ES"/>
      </w:rPr>
      <w:t>11</w:t>
    </w:r>
    <w:r w:rsidRPr="00FF6499">
      <w:rPr>
        <w:sz w:val="20"/>
      </w:rPr>
      <w:fldChar w:fldCharType="end"/>
    </w:r>
  </w:p>
  <w:p w14:paraId="06B6B4E8" w14:textId="77777777" w:rsidR="00E72064" w:rsidRDefault="009C5B37">
    <w:pPr>
      <w:pStyle w:val="Piedepgina"/>
      <w:ind w:right="360"/>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2F23" w14:textId="77777777" w:rsidR="00882C40" w:rsidRDefault="00882C40" w:rsidP="003257EE">
      <w:r>
        <w:separator/>
      </w:r>
    </w:p>
  </w:footnote>
  <w:footnote w:type="continuationSeparator" w:id="0">
    <w:p w14:paraId="503F1BDD" w14:textId="77777777" w:rsidR="00882C40" w:rsidRDefault="00882C40" w:rsidP="003257EE">
      <w:r>
        <w:continuationSeparator/>
      </w:r>
    </w:p>
  </w:footnote>
  <w:footnote w:id="1">
    <w:p w14:paraId="37FAD7C2" w14:textId="56167FA5" w:rsidR="00C02955" w:rsidRDefault="00C02955" w:rsidP="00C02955">
      <w:pPr>
        <w:pStyle w:val="Textonotapie"/>
        <w:jc w:val="both"/>
      </w:pPr>
      <w:r>
        <w:rPr>
          <w:rStyle w:val="Refdenotaalpie"/>
        </w:rPr>
        <w:footnoteRef/>
      </w:r>
      <w:r>
        <w:t xml:space="preserve"> El Consejo Técnico de la Contaduría Pública (CTCP) en su carácter de Organismo de Normalización Técnica de Normas de Contabilidad, de Información Financiera y de Aseguramiento de la información, de acuerdo con lo dispuesto en el Decreto Único 2420 de 2015, modificado por los Decretos 2496 de 2015, 2101, 2131 y 2132 de 2016, 2170 de 2017 y 2483 de 2018, en los cuales se faculta al CTCP para resolver las inquietudes que se formulen en desarrollo de la adecuada aplicación de los marcos técnicos normativos de las normas de información financiera y de aseguramiento de la información, y el numeral tercero del Artículo 33 de la Ley 43 de 1990, que señala como una de sus funciones el de servir de órgano asesor y consultor del Estado y de los particulares en todos los aspectos técnicos relacionados con el desarrollo y el ejercicio de la profesión.</w:t>
      </w:r>
    </w:p>
  </w:footnote>
  <w:footnote w:id="2">
    <w:p w14:paraId="0D19EDDC" w14:textId="3FC9ADFA" w:rsidR="008A5504" w:rsidRDefault="00C02955" w:rsidP="00C02955">
      <w:pPr>
        <w:pStyle w:val="Textonotapie"/>
        <w:jc w:val="both"/>
      </w:pPr>
      <w:r>
        <w:rPr>
          <w:rStyle w:val="Refdenotaalpie"/>
        </w:rPr>
        <w:footnoteRef/>
      </w:r>
      <w:r>
        <w:t xml:space="preserve"> ANÁLISIS DE LA VIGENCIA DEL DECRETO 2649 DE 1993 FRENTE A LOS MARCOS NORMATIVOS DE INFORMACIÓN FINANCIERA, Consejo Técnico de la Contaduría Pública. Véase el siguiente </w:t>
      </w:r>
      <w:r w:rsidRPr="00C02955">
        <w:rPr>
          <w:i/>
          <w:iCs/>
        </w:rPr>
        <w:t>link</w:t>
      </w:r>
      <w:r>
        <w:t xml:space="preserve"> </w:t>
      </w:r>
      <w:hyperlink r:id="rId1" w:history="1">
        <w:r w:rsidR="008A5504" w:rsidRPr="00536AEC">
          <w:rPr>
            <w:rStyle w:val="Hipervnculo"/>
          </w:rPr>
          <w:t>https://www.ctcp.gov.co/proyectos/contabilidad-e-informacion-financiera/documentos-organismos-internacionales/propuesta-recomendaciones-al-decreto-2649-de-1993/i-supersociedades</w:t>
        </w:r>
      </w:hyperlink>
      <w:r w:rsidR="008A550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27CB" w14:textId="66F3DA9F" w:rsidR="00E72064" w:rsidRPr="00262190" w:rsidRDefault="00B473B3" w:rsidP="00E72064">
    <w:pPr>
      <w:pStyle w:val="Encabezado"/>
      <w:jc w:val="right"/>
      <w:rPr>
        <w:sz w:val="24"/>
        <w:szCs w:val="24"/>
      </w:rPr>
    </w:pPr>
    <w:r w:rsidRPr="00262190">
      <w:rPr>
        <w:rFonts w:ascii="Bookman Old Style" w:hAnsi="Bookman Old Style"/>
        <w:sz w:val="24"/>
        <w:szCs w:val="24"/>
      </w:rPr>
      <w:t>R</w:t>
    </w:r>
    <w:r>
      <w:rPr>
        <w:rFonts w:ascii="Bookman Old Style" w:hAnsi="Bookman Old Style"/>
        <w:sz w:val="24"/>
        <w:szCs w:val="24"/>
      </w:rPr>
      <w:t>adicación n</w:t>
    </w:r>
    <w:r w:rsidRPr="00262190">
      <w:rPr>
        <w:rFonts w:ascii="Bookman Old Style" w:hAnsi="Bookman Old Style"/>
        <w:sz w:val="24"/>
        <w:szCs w:val="24"/>
      </w:rPr>
      <w:t xml:space="preserve">º </w:t>
    </w:r>
    <w:r w:rsidR="000B4838" w:rsidRPr="000B4838">
      <w:rPr>
        <w:rFonts w:ascii="Bookman Old Style" w:hAnsi="Bookman Old Style"/>
        <w:sz w:val="24"/>
        <w:szCs w:val="24"/>
      </w:rPr>
      <w:t>11001-22-03-000-2021-01663-01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9EF86" w14:textId="77777777" w:rsidR="00E72064" w:rsidRPr="00617A97" w:rsidRDefault="00B473B3" w:rsidP="00E72064">
    <w:pPr>
      <w:jc w:val="center"/>
    </w:pPr>
    <w:r>
      <w:rPr>
        <w:rFonts w:ascii="Bookman Old Style" w:hAnsi="Bookman Old Style"/>
        <w:noProof/>
        <w:szCs w:val="28"/>
        <w:lang w:eastAsia="es-CO"/>
      </w:rPr>
      <w:drawing>
        <wp:inline distT="0" distB="0" distL="0" distR="0" wp14:anchorId="69733448" wp14:editId="03A99AE2">
          <wp:extent cx="1343025" cy="1714500"/>
          <wp:effectExtent l="0" t="0" r="9525" b="0"/>
          <wp:docPr id="10" name="Imagen 10" descr="Civil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vilByn"/>
                  <pic:cNvPicPr>
                    <a:picLocks noChangeAspect="1" noChangeArrowheads="1"/>
                  </pic:cNvPicPr>
                </pic:nvPicPr>
                <pic:blipFill>
                  <a:blip r:embed="rId1">
                    <a:extLst>
                      <a:ext uri="{28A0092B-C50C-407E-A947-70E740481C1C}">
                        <a14:useLocalDpi xmlns:a14="http://schemas.microsoft.com/office/drawing/2010/main" val="0"/>
                      </a:ext>
                    </a:extLst>
                  </a:blip>
                  <a:srcRect l="17081" t="4179" r="16171" b="11084"/>
                  <a:stretch>
                    <a:fillRect/>
                  </a:stretch>
                </pic:blipFill>
                <pic:spPr bwMode="auto">
                  <a:xfrm>
                    <a:off x="0" y="0"/>
                    <a:ext cx="1343025" cy="1714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EE"/>
    <w:rsid w:val="00000F23"/>
    <w:rsid w:val="00002C92"/>
    <w:rsid w:val="00012C3A"/>
    <w:rsid w:val="000221A7"/>
    <w:rsid w:val="00025589"/>
    <w:rsid w:val="000331DB"/>
    <w:rsid w:val="00033AF7"/>
    <w:rsid w:val="000355D2"/>
    <w:rsid w:val="00036828"/>
    <w:rsid w:val="000418E4"/>
    <w:rsid w:val="00052D0E"/>
    <w:rsid w:val="00052D82"/>
    <w:rsid w:val="00056F1E"/>
    <w:rsid w:val="000620C1"/>
    <w:rsid w:val="000673E1"/>
    <w:rsid w:val="0007174E"/>
    <w:rsid w:val="0007430C"/>
    <w:rsid w:val="0007478F"/>
    <w:rsid w:val="00076777"/>
    <w:rsid w:val="000873E8"/>
    <w:rsid w:val="00091159"/>
    <w:rsid w:val="00096177"/>
    <w:rsid w:val="000A0B9B"/>
    <w:rsid w:val="000A0FDA"/>
    <w:rsid w:val="000A532A"/>
    <w:rsid w:val="000A74AC"/>
    <w:rsid w:val="000B153F"/>
    <w:rsid w:val="000B44C3"/>
    <w:rsid w:val="000B4838"/>
    <w:rsid w:val="000C18C3"/>
    <w:rsid w:val="000C5BDD"/>
    <w:rsid w:val="000D0A0F"/>
    <w:rsid w:val="000D6EFC"/>
    <w:rsid w:val="000E0EE9"/>
    <w:rsid w:val="000E2580"/>
    <w:rsid w:val="000E25C9"/>
    <w:rsid w:val="000E45AF"/>
    <w:rsid w:val="000E6F91"/>
    <w:rsid w:val="000E7273"/>
    <w:rsid w:val="00111050"/>
    <w:rsid w:val="00112E24"/>
    <w:rsid w:val="0011652A"/>
    <w:rsid w:val="00117502"/>
    <w:rsid w:val="00117624"/>
    <w:rsid w:val="001204CD"/>
    <w:rsid w:val="001255ED"/>
    <w:rsid w:val="001302BF"/>
    <w:rsid w:val="00132FC7"/>
    <w:rsid w:val="00135604"/>
    <w:rsid w:val="00137879"/>
    <w:rsid w:val="00141511"/>
    <w:rsid w:val="001449ED"/>
    <w:rsid w:val="0014554C"/>
    <w:rsid w:val="00145DFA"/>
    <w:rsid w:val="00160939"/>
    <w:rsid w:val="001628E2"/>
    <w:rsid w:val="00163F50"/>
    <w:rsid w:val="00164327"/>
    <w:rsid w:val="00166D6C"/>
    <w:rsid w:val="0017219F"/>
    <w:rsid w:val="00182668"/>
    <w:rsid w:val="00182980"/>
    <w:rsid w:val="001845A6"/>
    <w:rsid w:val="00193107"/>
    <w:rsid w:val="001C22B4"/>
    <w:rsid w:val="001D2587"/>
    <w:rsid w:val="001D35E3"/>
    <w:rsid w:val="001D7B87"/>
    <w:rsid w:val="001E0265"/>
    <w:rsid w:val="001E1778"/>
    <w:rsid w:val="001E319C"/>
    <w:rsid w:val="001E38E1"/>
    <w:rsid w:val="001E6BBF"/>
    <w:rsid w:val="001F29A4"/>
    <w:rsid w:val="001F6E49"/>
    <w:rsid w:val="00200734"/>
    <w:rsid w:val="00202AE9"/>
    <w:rsid w:val="00205AE3"/>
    <w:rsid w:val="0020756C"/>
    <w:rsid w:val="00212403"/>
    <w:rsid w:val="00212A34"/>
    <w:rsid w:val="00216C23"/>
    <w:rsid w:val="00220C46"/>
    <w:rsid w:val="002264C8"/>
    <w:rsid w:val="00226E3A"/>
    <w:rsid w:val="00235B64"/>
    <w:rsid w:val="002478A3"/>
    <w:rsid w:val="00253B0F"/>
    <w:rsid w:val="00255774"/>
    <w:rsid w:val="002662E8"/>
    <w:rsid w:val="002709EC"/>
    <w:rsid w:val="00270A14"/>
    <w:rsid w:val="0027184F"/>
    <w:rsid w:val="00280D75"/>
    <w:rsid w:val="00284497"/>
    <w:rsid w:val="0028452B"/>
    <w:rsid w:val="00287169"/>
    <w:rsid w:val="0029338B"/>
    <w:rsid w:val="0029428A"/>
    <w:rsid w:val="00296735"/>
    <w:rsid w:val="00296E8D"/>
    <w:rsid w:val="002A201D"/>
    <w:rsid w:val="002A3F55"/>
    <w:rsid w:val="002A5E5B"/>
    <w:rsid w:val="002A7175"/>
    <w:rsid w:val="002C10C5"/>
    <w:rsid w:val="002C374C"/>
    <w:rsid w:val="002C3957"/>
    <w:rsid w:val="002D0054"/>
    <w:rsid w:val="002D3119"/>
    <w:rsid w:val="002D438C"/>
    <w:rsid w:val="002D46C8"/>
    <w:rsid w:val="002E3E8D"/>
    <w:rsid w:val="002E5046"/>
    <w:rsid w:val="002E79F9"/>
    <w:rsid w:val="002E7D3B"/>
    <w:rsid w:val="002E7E11"/>
    <w:rsid w:val="002F0496"/>
    <w:rsid w:val="002F0B5E"/>
    <w:rsid w:val="002F39E1"/>
    <w:rsid w:val="00300C93"/>
    <w:rsid w:val="00301004"/>
    <w:rsid w:val="003070F6"/>
    <w:rsid w:val="0030783E"/>
    <w:rsid w:val="0030797B"/>
    <w:rsid w:val="00321CB5"/>
    <w:rsid w:val="00324A9F"/>
    <w:rsid w:val="0032507F"/>
    <w:rsid w:val="003257EE"/>
    <w:rsid w:val="0032794A"/>
    <w:rsid w:val="0033573E"/>
    <w:rsid w:val="003364CB"/>
    <w:rsid w:val="003414B2"/>
    <w:rsid w:val="00344B8A"/>
    <w:rsid w:val="00352009"/>
    <w:rsid w:val="00352193"/>
    <w:rsid w:val="00362252"/>
    <w:rsid w:val="00366AEB"/>
    <w:rsid w:val="0037332C"/>
    <w:rsid w:val="00377B36"/>
    <w:rsid w:val="00380507"/>
    <w:rsid w:val="0038057E"/>
    <w:rsid w:val="00387966"/>
    <w:rsid w:val="00390F74"/>
    <w:rsid w:val="00392006"/>
    <w:rsid w:val="00392F8E"/>
    <w:rsid w:val="003A1F71"/>
    <w:rsid w:val="003A540B"/>
    <w:rsid w:val="003A5DDE"/>
    <w:rsid w:val="003B564C"/>
    <w:rsid w:val="003C0BE2"/>
    <w:rsid w:val="003C775C"/>
    <w:rsid w:val="003D1976"/>
    <w:rsid w:val="003D55D0"/>
    <w:rsid w:val="003D61E6"/>
    <w:rsid w:val="003E484A"/>
    <w:rsid w:val="003F3FC2"/>
    <w:rsid w:val="00402955"/>
    <w:rsid w:val="00402CD9"/>
    <w:rsid w:val="0041419D"/>
    <w:rsid w:val="0042066E"/>
    <w:rsid w:val="004320D6"/>
    <w:rsid w:val="00433E1D"/>
    <w:rsid w:val="00437836"/>
    <w:rsid w:val="00440D8F"/>
    <w:rsid w:val="004439B9"/>
    <w:rsid w:val="00451D6C"/>
    <w:rsid w:val="00451D8E"/>
    <w:rsid w:val="0045326A"/>
    <w:rsid w:val="004537C8"/>
    <w:rsid w:val="00456E07"/>
    <w:rsid w:val="004600A8"/>
    <w:rsid w:val="0046196D"/>
    <w:rsid w:val="00467305"/>
    <w:rsid w:val="004709EE"/>
    <w:rsid w:val="00470FD8"/>
    <w:rsid w:val="00471312"/>
    <w:rsid w:val="00472EAD"/>
    <w:rsid w:val="00473118"/>
    <w:rsid w:val="00474925"/>
    <w:rsid w:val="004778FA"/>
    <w:rsid w:val="004876CE"/>
    <w:rsid w:val="004909F2"/>
    <w:rsid w:val="00493C5B"/>
    <w:rsid w:val="00496D99"/>
    <w:rsid w:val="004A3847"/>
    <w:rsid w:val="004B0202"/>
    <w:rsid w:val="004B4210"/>
    <w:rsid w:val="004B502F"/>
    <w:rsid w:val="004B74EE"/>
    <w:rsid w:val="004C5E81"/>
    <w:rsid w:val="004D0366"/>
    <w:rsid w:val="004D1F41"/>
    <w:rsid w:val="004D2813"/>
    <w:rsid w:val="004D43DE"/>
    <w:rsid w:val="004D72D4"/>
    <w:rsid w:val="004E0573"/>
    <w:rsid w:val="004E2C8B"/>
    <w:rsid w:val="004E3B4E"/>
    <w:rsid w:val="004E575E"/>
    <w:rsid w:val="004E5BA6"/>
    <w:rsid w:val="004E60F3"/>
    <w:rsid w:val="004E6645"/>
    <w:rsid w:val="004F57D6"/>
    <w:rsid w:val="004F7339"/>
    <w:rsid w:val="004F7342"/>
    <w:rsid w:val="00510A00"/>
    <w:rsid w:val="00513D08"/>
    <w:rsid w:val="00515A0D"/>
    <w:rsid w:val="00520767"/>
    <w:rsid w:val="00525885"/>
    <w:rsid w:val="00525DA0"/>
    <w:rsid w:val="005265B5"/>
    <w:rsid w:val="00526D4E"/>
    <w:rsid w:val="00535817"/>
    <w:rsid w:val="00536378"/>
    <w:rsid w:val="0054050D"/>
    <w:rsid w:val="00541AB5"/>
    <w:rsid w:val="0054422D"/>
    <w:rsid w:val="00545E10"/>
    <w:rsid w:val="005543D0"/>
    <w:rsid w:val="0056195F"/>
    <w:rsid w:val="0056284D"/>
    <w:rsid w:val="00564EAD"/>
    <w:rsid w:val="005708BF"/>
    <w:rsid w:val="0057151F"/>
    <w:rsid w:val="00587B0B"/>
    <w:rsid w:val="005A082F"/>
    <w:rsid w:val="005A1927"/>
    <w:rsid w:val="005B7188"/>
    <w:rsid w:val="005C4A1E"/>
    <w:rsid w:val="005D46EA"/>
    <w:rsid w:val="005D7C82"/>
    <w:rsid w:val="005E3C66"/>
    <w:rsid w:val="005E5667"/>
    <w:rsid w:val="005E6A15"/>
    <w:rsid w:val="006053D8"/>
    <w:rsid w:val="00607F3B"/>
    <w:rsid w:val="006126CF"/>
    <w:rsid w:val="00613B16"/>
    <w:rsid w:val="00617594"/>
    <w:rsid w:val="00620337"/>
    <w:rsid w:val="0062538C"/>
    <w:rsid w:val="00630BEF"/>
    <w:rsid w:val="00640C12"/>
    <w:rsid w:val="0064197D"/>
    <w:rsid w:val="00643130"/>
    <w:rsid w:val="006468B1"/>
    <w:rsid w:val="00650041"/>
    <w:rsid w:val="00653A32"/>
    <w:rsid w:val="00664B43"/>
    <w:rsid w:val="00667135"/>
    <w:rsid w:val="00667A4D"/>
    <w:rsid w:val="00667DFA"/>
    <w:rsid w:val="00674FE8"/>
    <w:rsid w:val="006B1FA9"/>
    <w:rsid w:val="006B7053"/>
    <w:rsid w:val="006C02E6"/>
    <w:rsid w:val="006C2661"/>
    <w:rsid w:val="006C3846"/>
    <w:rsid w:val="006C6000"/>
    <w:rsid w:val="006C6CBF"/>
    <w:rsid w:val="006D429A"/>
    <w:rsid w:val="006D56A0"/>
    <w:rsid w:val="006D72F8"/>
    <w:rsid w:val="006F018C"/>
    <w:rsid w:val="006F2C04"/>
    <w:rsid w:val="006F46EC"/>
    <w:rsid w:val="006F6707"/>
    <w:rsid w:val="006F74E7"/>
    <w:rsid w:val="006F7614"/>
    <w:rsid w:val="006F7D55"/>
    <w:rsid w:val="00701B12"/>
    <w:rsid w:val="0070371B"/>
    <w:rsid w:val="0070379F"/>
    <w:rsid w:val="00705734"/>
    <w:rsid w:val="0071017A"/>
    <w:rsid w:val="0071081C"/>
    <w:rsid w:val="00713BA8"/>
    <w:rsid w:val="0071513D"/>
    <w:rsid w:val="00722802"/>
    <w:rsid w:val="00731C96"/>
    <w:rsid w:val="00733D5F"/>
    <w:rsid w:val="00736A01"/>
    <w:rsid w:val="007521DA"/>
    <w:rsid w:val="00754EA8"/>
    <w:rsid w:val="00757E8F"/>
    <w:rsid w:val="007676E4"/>
    <w:rsid w:val="00773F89"/>
    <w:rsid w:val="00774DC5"/>
    <w:rsid w:val="007764F3"/>
    <w:rsid w:val="00776B83"/>
    <w:rsid w:val="00782076"/>
    <w:rsid w:val="00790AE7"/>
    <w:rsid w:val="00790D4F"/>
    <w:rsid w:val="00792CE6"/>
    <w:rsid w:val="00792FD4"/>
    <w:rsid w:val="00794CD8"/>
    <w:rsid w:val="007979DA"/>
    <w:rsid w:val="007A01F9"/>
    <w:rsid w:val="007A49DB"/>
    <w:rsid w:val="007C326F"/>
    <w:rsid w:val="007C72E3"/>
    <w:rsid w:val="007C7607"/>
    <w:rsid w:val="007D2B7C"/>
    <w:rsid w:val="007D3490"/>
    <w:rsid w:val="007E5B04"/>
    <w:rsid w:val="007F16AA"/>
    <w:rsid w:val="007F206B"/>
    <w:rsid w:val="007F3A1E"/>
    <w:rsid w:val="00800F02"/>
    <w:rsid w:val="0080356D"/>
    <w:rsid w:val="00810264"/>
    <w:rsid w:val="00813F9F"/>
    <w:rsid w:val="008146DD"/>
    <w:rsid w:val="00816F6F"/>
    <w:rsid w:val="00821139"/>
    <w:rsid w:val="0083102E"/>
    <w:rsid w:val="0083139F"/>
    <w:rsid w:val="008364A1"/>
    <w:rsid w:val="00837885"/>
    <w:rsid w:val="00840654"/>
    <w:rsid w:val="008421A7"/>
    <w:rsid w:val="008460BE"/>
    <w:rsid w:val="00847F60"/>
    <w:rsid w:val="008508E1"/>
    <w:rsid w:val="0085510E"/>
    <w:rsid w:val="00856DE9"/>
    <w:rsid w:val="00857941"/>
    <w:rsid w:val="00870208"/>
    <w:rsid w:val="008737F0"/>
    <w:rsid w:val="00873DA7"/>
    <w:rsid w:val="00882C40"/>
    <w:rsid w:val="0088363B"/>
    <w:rsid w:val="008846A1"/>
    <w:rsid w:val="00891E8E"/>
    <w:rsid w:val="008A523A"/>
    <w:rsid w:val="008A5504"/>
    <w:rsid w:val="008B0956"/>
    <w:rsid w:val="008B0E26"/>
    <w:rsid w:val="008B7384"/>
    <w:rsid w:val="008C1280"/>
    <w:rsid w:val="008C2FE0"/>
    <w:rsid w:val="008C6BBF"/>
    <w:rsid w:val="008D2B4E"/>
    <w:rsid w:val="008D6382"/>
    <w:rsid w:val="008E0DBE"/>
    <w:rsid w:val="008E1F5E"/>
    <w:rsid w:val="008E3207"/>
    <w:rsid w:val="008E6534"/>
    <w:rsid w:val="008F2633"/>
    <w:rsid w:val="008F3C22"/>
    <w:rsid w:val="00901891"/>
    <w:rsid w:val="00910337"/>
    <w:rsid w:val="00910CD5"/>
    <w:rsid w:val="00914656"/>
    <w:rsid w:val="009257E6"/>
    <w:rsid w:val="00927F6A"/>
    <w:rsid w:val="00930E9D"/>
    <w:rsid w:val="0093381A"/>
    <w:rsid w:val="00941BC1"/>
    <w:rsid w:val="00947B13"/>
    <w:rsid w:val="0095060B"/>
    <w:rsid w:val="00952EBE"/>
    <w:rsid w:val="00957D0D"/>
    <w:rsid w:val="00963236"/>
    <w:rsid w:val="00967FDE"/>
    <w:rsid w:val="00973669"/>
    <w:rsid w:val="00973EA7"/>
    <w:rsid w:val="009751B5"/>
    <w:rsid w:val="009754A0"/>
    <w:rsid w:val="009762D8"/>
    <w:rsid w:val="00977A9E"/>
    <w:rsid w:val="00981EDF"/>
    <w:rsid w:val="00995919"/>
    <w:rsid w:val="009A6898"/>
    <w:rsid w:val="009B6876"/>
    <w:rsid w:val="009B69AE"/>
    <w:rsid w:val="009C5B37"/>
    <w:rsid w:val="009C7CEF"/>
    <w:rsid w:val="009D4463"/>
    <w:rsid w:val="009D632D"/>
    <w:rsid w:val="009D689B"/>
    <w:rsid w:val="009E4DAD"/>
    <w:rsid w:val="009F41BB"/>
    <w:rsid w:val="00A1489A"/>
    <w:rsid w:val="00A149D1"/>
    <w:rsid w:val="00A14E76"/>
    <w:rsid w:val="00A15074"/>
    <w:rsid w:val="00A24F94"/>
    <w:rsid w:val="00A27D5A"/>
    <w:rsid w:val="00A301CE"/>
    <w:rsid w:val="00A32CD5"/>
    <w:rsid w:val="00A35F34"/>
    <w:rsid w:val="00A36661"/>
    <w:rsid w:val="00A36E84"/>
    <w:rsid w:val="00A37021"/>
    <w:rsid w:val="00A509D4"/>
    <w:rsid w:val="00A60511"/>
    <w:rsid w:val="00A624E6"/>
    <w:rsid w:val="00A627D8"/>
    <w:rsid w:val="00A64194"/>
    <w:rsid w:val="00A70065"/>
    <w:rsid w:val="00A717BF"/>
    <w:rsid w:val="00A71DAA"/>
    <w:rsid w:val="00A722EC"/>
    <w:rsid w:val="00A7362A"/>
    <w:rsid w:val="00A741BE"/>
    <w:rsid w:val="00A75C26"/>
    <w:rsid w:val="00A767E5"/>
    <w:rsid w:val="00A810F9"/>
    <w:rsid w:val="00A82FC3"/>
    <w:rsid w:val="00A92159"/>
    <w:rsid w:val="00A9304B"/>
    <w:rsid w:val="00A933A7"/>
    <w:rsid w:val="00AA0B81"/>
    <w:rsid w:val="00AA6AEA"/>
    <w:rsid w:val="00AB3E58"/>
    <w:rsid w:val="00AB4BF7"/>
    <w:rsid w:val="00AC13DF"/>
    <w:rsid w:val="00AC17FA"/>
    <w:rsid w:val="00AC34CF"/>
    <w:rsid w:val="00AD5AAE"/>
    <w:rsid w:val="00AE640A"/>
    <w:rsid w:val="00AE7FAE"/>
    <w:rsid w:val="00AF222A"/>
    <w:rsid w:val="00AF39AA"/>
    <w:rsid w:val="00AF46C6"/>
    <w:rsid w:val="00AF4EB3"/>
    <w:rsid w:val="00AF61E2"/>
    <w:rsid w:val="00B0106B"/>
    <w:rsid w:val="00B15321"/>
    <w:rsid w:val="00B20128"/>
    <w:rsid w:val="00B35F69"/>
    <w:rsid w:val="00B40679"/>
    <w:rsid w:val="00B452B9"/>
    <w:rsid w:val="00B45A1C"/>
    <w:rsid w:val="00B4638F"/>
    <w:rsid w:val="00B46C1D"/>
    <w:rsid w:val="00B473B3"/>
    <w:rsid w:val="00B5464D"/>
    <w:rsid w:val="00B5720F"/>
    <w:rsid w:val="00B65D20"/>
    <w:rsid w:val="00B661D0"/>
    <w:rsid w:val="00B66DFE"/>
    <w:rsid w:val="00B66E2A"/>
    <w:rsid w:val="00B70423"/>
    <w:rsid w:val="00B77CAD"/>
    <w:rsid w:val="00B8110F"/>
    <w:rsid w:val="00B8310A"/>
    <w:rsid w:val="00B854E5"/>
    <w:rsid w:val="00B85A79"/>
    <w:rsid w:val="00B86593"/>
    <w:rsid w:val="00B95C8B"/>
    <w:rsid w:val="00B9635F"/>
    <w:rsid w:val="00B97BA5"/>
    <w:rsid w:val="00BA3546"/>
    <w:rsid w:val="00BA603F"/>
    <w:rsid w:val="00BC08AF"/>
    <w:rsid w:val="00BC1C8D"/>
    <w:rsid w:val="00BC2B2D"/>
    <w:rsid w:val="00BC35C6"/>
    <w:rsid w:val="00BC6418"/>
    <w:rsid w:val="00BD1512"/>
    <w:rsid w:val="00BD36C3"/>
    <w:rsid w:val="00BD51F9"/>
    <w:rsid w:val="00BD7CE4"/>
    <w:rsid w:val="00BE0A47"/>
    <w:rsid w:val="00BE15B4"/>
    <w:rsid w:val="00BE2FCE"/>
    <w:rsid w:val="00BE4BA3"/>
    <w:rsid w:val="00BE628A"/>
    <w:rsid w:val="00BE6872"/>
    <w:rsid w:val="00BF131F"/>
    <w:rsid w:val="00BF46E1"/>
    <w:rsid w:val="00BF5E83"/>
    <w:rsid w:val="00BF79DD"/>
    <w:rsid w:val="00C02955"/>
    <w:rsid w:val="00C03474"/>
    <w:rsid w:val="00C03ABC"/>
    <w:rsid w:val="00C075B2"/>
    <w:rsid w:val="00C10210"/>
    <w:rsid w:val="00C10CE0"/>
    <w:rsid w:val="00C13321"/>
    <w:rsid w:val="00C20E3D"/>
    <w:rsid w:val="00C2246A"/>
    <w:rsid w:val="00C23E4E"/>
    <w:rsid w:val="00C24689"/>
    <w:rsid w:val="00C25737"/>
    <w:rsid w:val="00C272E5"/>
    <w:rsid w:val="00C340A3"/>
    <w:rsid w:val="00C37873"/>
    <w:rsid w:val="00C4021D"/>
    <w:rsid w:val="00C51C66"/>
    <w:rsid w:val="00C529C9"/>
    <w:rsid w:val="00C571F4"/>
    <w:rsid w:val="00C60732"/>
    <w:rsid w:val="00C6290C"/>
    <w:rsid w:val="00C66E0E"/>
    <w:rsid w:val="00C80AF5"/>
    <w:rsid w:val="00C84991"/>
    <w:rsid w:val="00C86F42"/>
    <w:rsid w:val="00CA151E"/>
    <w:rsid w:val="00CA3BC6"/>
    <w:rsid w:val="00CA533D"/>
    <w:rsid w:val="00CB2D54"/>
    <w:rsid w:val="00CC2D85"/>
    <w:rsid w:val="00CC4293"/>
    <w:rsid w:val="00CC7F76"/>
    <w:rsid w:val="00CD00DD"/>
    <w:rsid w:val="00CD3EF6"/>
    <w:rsid w:val="00CD6545"/>
    <w:rsid w:val="00CD7DC4"/>
    <w:rsid w:val="00CE070A"/>
    <w:rsid w:val="00CE5FF8"/>
    <w:rsid w:val="00CE6081"/>
    <w:rsid w:val="00CF1A5B"/>
    <w:rsid w:val="00CF49C3"/>
    <w:rsid w:val="00CF616F"/>
    <w:rsid w:val="00D00736"/>
    <w:rsid w:val="00D0178C"/>
    <w:rsid w:val="00D04336"/>
    <w:rsid w:val="00D043DB"/>
    <w:rsid w:val="00D13270"/>
    <w:rsid w:val="00D228E6"/>
    <w:rsid w:val="00D22E6F"/>
    <w:rsid w:val="00D23661"/>
    <w:rsid w:val="00D33BFE"/>
    <w:rsid w:val="00D410E0"/>
    <w:rsid w:val="00D47E8D"/>
    <w:rsid w:val="00D514C5"/>
    <w:rsid w:val="00D56374"/>
    <w:rsid w:val="00D56F48"/>
    <w:rsid w:val="00D63593"/>
    <w:rsid w:val="00D65F9F"/>
    <w:rsid w:val="00D7676A"/>
    <w:rsid w:val="00D805D9"/>
    <w:rsid w:val="00D813E7"/>
    <w:rsid w:val="00D81537"/>
    <w:rsid w:val="00D81FF6"/>
    <w:rsid w:val="00D86974"/>
    <w:rsid w:val="00D92753"/>
    <w:rsid w:val="00DA0884"/>
    <w:rsid w:val="00DA1229"/>
    <w:rsid w:val="00DA22C6"/>
    <w:rsid w:val="00DA73E8"/>
    <w:rsid w:val="00DB0A62"/>
    <w:rsid w:val="00DB18CB"/>
    <w:rsid w:val="00DB1D06"/>
    <w:rsid w:val="00DB4FFA"/>
    <w:rsid w:val="00DC6E22"/>
    <w:rsid w:val="00DD7ABE"/>
    <w:rsid w:val="00DE0FAC"/>
    <w:rsid w:val="00DF4324"/>
    <w:rsid w:val="00E02EA0"/>
    <w:rsid w:val="00E0501D"/>
    <w:rsid w:val="00E07284"/>
    <w:rsid w:val="00E138AC"/>
    <w:rsid w:val="00E13D11"/>
    <w:rsid w:val="00E21B17"/>
    <w:rsid w:val="00E23B04"/>
    <w:rsid w:val="00E36471"/>
    <w:rsid w:val="00E43A49"/>
    <w:rsid w:val="00E451A3"/>
    <w:rsid w:val="00E5028E"/>
    <w:rsid w:val="00E61B3E"/>
    <w:rsid w:val="00E71AF8"/>
    <w:rsid w:val="00E724B4"/>
    <w:rsid w:val="00E93555"/>
    <w:rsid w:val="00E94F53"/>
    <w:rsid w:val="00E9588F"/>
    <w:rsid w:val="00E9694C"/>
    <w:rsid w:val="00EA6413"/>
    <w:rsid w:val="00EB0946"/>
    <w:rsid w:val="00EB544C"/>
    <w:rsid w:val="00EC03B0"/>
    <w:rsid w:val="00EC1E44"/>
    <w:rsid w:val="00ED0A68"/>
    <w:rsid w:val="00ED389F"/>
    <w:rsid w:val="00ED711A"/>
    <w:rsid w:val="00ED74EF"/>
    <w:rsid w:val="00ED77CD"/>
    <w:rsid w:val="00EE018A"/>
    <w:rsid w:val="00EE4958"/>
    <w:rsid w:val="00EE75D4"/>
    <w:rsid w:val="00EF3AE2"/>
    <w:rsid w:val="00EF62A6"/>
    <w:rsid w:val="00EF7D33"/>
    <w:rsid w:val="00EF7FF9"/>
    <w:rsid w:val="00F03BAD"/>
    <w:rsid w:val="00F05908"/>
    <w:rsid w:val="00F06E4C"/>
    <w:rsid w:val="00F071F5"/>
    <w:rsid w:val="00F133B9"/>
    <w:rsid w:val="00F13939"/>
    <w:rsid w:val="00F211C7"/>
    <w:rsid w:val="00F246FE"/>
    <w:rsid w:val="00F31AA8"/>
    <w:rsid w:val="00F33895"/>
    <w:rsid w:val="00F4223D"/>
    <w:rsid w:val="00F4613A"/>
    <w:rsid w:val="00F47C7C"/>
    <w:rsid w:val="00F501F4"/>
    <w:rsid w:val="00F5258A"/>
    <w:rsid w:val="00F55B6C"/>
    <w:rsid w:val="00F6081B"/>
    <w:rsid w:val="00F6154C"/>
    <w:rsid w:val="00F672EA"/>
    <w:rsid w:val="00F6780D"/>
    <w:rsid w:val="00F70ACE"/>
    <w:rsid w:val="00F74FA7"/>
    <w:rsid w:val="00F82618"/>
    <w:rsid w:val="00F853F0"/>
    <w:rsid w:val="00F93364"/>
    <w:rsid w:val="00FA262B"/>
    <w:rsid w:val="00FB07C4"/>
    <w:rsid w:val="00FB370C"/>
    <w:rsid w:val="00FB72D1"/>
    <w:rsid w:val="00FC330A"/>
    <w:rsid w:val="00FE22ED"/>
    <w:rsid w:val="00FF75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8D389"/>
  <w15:docId w15:val="{CF32D345-DB1F-443D-AC94-017B885C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7EE"/>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3257EE"/>
    <w:pPr>
      <w:keepNext/>
      <w:spacing w:line="360" w:lineRule="auto"/>
      <w:jc w:val="center"/>
      <w:outlineLvl w:val="0"/>
    </w:pPr>
    <w:rPr>
      <w:rFonts w:ascii="Arial" w:hAnsi="Arial"/>
      <w:b/>
      <w:sz w:val="28"/>
      <w:lang w:val="es-ES_tradnl"/>
    </w:rPr>
  </w:style>
  <w:style w:type="paragraph" w:styleId="Ttulo2">
    <w:name w:val="heading 2"/>
    <w:basedOn w:val="Normal"/>
    <w:next w:val="Normal"/>
    <w:link w:val="Ttulo2Car"/>
    <w:qFormat/>
    <w:rsid w:val="003257EE"/>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57EE"/>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3257EE"/>
    <w:rPr>
      <w:rFonts w:ascii="Arial" w:eastAsia="Times New Roman" w:hAnsi="Arial" w:cs="Arial"/>
      <w:b/>
      <w:bCs/>
      <w:i/>
      <w:iCs/>
      <w:sz w:val="28"/>
      <w:szCs w:val="28"/>
      <w:lang w:eastAsia="es-ES"/>
    </w:rPr>
  </w:style>
  <w:style w:type="paragraph" w:styleId="Encabezado">
    <w:name w:val="header"/>
    <w:basedOn w:val="Normal"/>
    <w:link w:val="EncabezadoCar"/>
    <w:uiPriority w:val="99"/>
    <w:rsid w:val="003257EE"/>
    <w:pPr>
      <w:tabs>
        <w:tab w:val="center" w:pos="4252"/>
        <w:tab w:val="right" w:pos="8504"/>
      </w:tabs>
    </w:pPr>
    <w:rPr>
      <w:rFonts w:ascii="Arial" w:hAnsi="Arial"/>
      <w:sz w:val="28"/>
      <w:lang w:val="es-ES_tradnl"/>
    </w:rPr>
  </w:style>
  <w:style w:type="character" w:customStyle="1" w:styleId="EncabezadoCar">
    <w:name w:val="Encabezado Car"/>
    <w:basedOn w:val="Fuentedeprrafopredeter"/>
    <w:link w:val="Encabezado"/>
    <w:uiPriority w:val="99"/>
    <w:rsid w:val="003257EE"/>
    <w:rPr>
      <w:rFonts w:ascii="Arial" w:eastAsia="Times New Roman" w:hAnsi="Arial" w:cs="Times New Roman"/>
      <w:sz w:val="28"/>
      <w:szCs w:val="20"/>
      <w:lang w:val="es-ES_tradnl" w:eastAsia="es-ES"/>
    </w:rPr>
  </w:style>
  <w:style w:type="paragraph" w:styleId="Piedepgina">
    <w:name w:val="footer"/>
    <w:basedOn w:val="Normal"/>
    <w:link w:val="PiedepginaCar"/>
    <w:uiPriority w:val="99"/>
    <w:rsid w:val="003257EE"/>
    <w:pPr>
      <w:tabs>
        <w:tab w:val="center" w:pos="4252"/>
        <w:tab w:val="right" w:pos="8504"/>
      </w:tabs>
    </w:pPr>
    <w:rPr>
      <w:rFonts w:ascii="Arial" w:hAnsi="Arial"/>
      <w:sz w:val="28"/>
      <w:lang w:val="es-ES_tradnl"/>
    </w:rPr>
  </w:style>
  <w:style w:type="character" w:customStyle="1" w:styleId="PiedepginaCar">
    <w:name w:val="Pie de página Car"/>
    <w:basedOn w:val="Fuentedeprrafopredeter"/>
    <w:link w:val="Piedepgina"/>
    <w:uiPriority w:val="99"/>
    <w:rsid w:val="003257EE"/>
    <w:rPr>
      <w:rFonts w:ascii="Arial" w:eastAsia="Times New Roman" w:hAnsi="Arial" w:cs="Times New Roman"/>
      <w:sz w:val="28"/>
      <w:szCs w:val="20"/>
      <w:lang w:val="es-ES_tradnl" w:eastAsia="es-ES"/>
    </w:rPr>
  </w:style>
  <w:style w:type="character" w:styleId="Nmerodepgina">
    <w:name w:val="page number"/>
    <w:basedOn w:val="Fuentedeprrafopredeter"/>
    <w:rsid w:val="003257EE"/>
  </w:style>
  <w:style w:type="paragraph" w:styleId="Ttulo">
    <w:name w:val="Title"/>
    <w:basedOn w:val="Normal"/>
    <w:link w:val="TtuloCar"/>
    <w:qFormat/>
    <w:rsid w:val="003257EE"/>
    <w:pPr>
      <w:spacing w:line="360" w:lineRule="auto"/>
      <w:jc w:val="center"/>
    </w:pPr>
    <w:rPr>
      <w:rFonts w:ascii="Arial" w:hAnsi="Arial"/>
      <w:b/>
      <w:sz w:val="28"/>
    </w:rPr>
  </w:style>
  <w:style w:type="character" w:customStyle="1" w:styleId="TtuloCar">
    <w:name w:val="Título Car"/>
    <w:basedOn w:val="Fuentedeprrafopredeter"/>
    <w:link w:val="Ttulo"/>
    <w:rsid w:val="003257EE"/>
    <w:rPr>
      <w:rFonts w:ascii="Arial" w:eastAsia="Times New Roman" w:hAnsi="Arial" w:cs="Times New Roman"/>
      <w:b/>
      <w:sz w:val="28"/>
      <w:szCs w:val="20"/>
      <w:lang w:eastAsia="es-ES"/>
    </w:rPr>
  </w:style>
  <w:style w:type="paragraph" w:styleId="Textoindependiente">
    <w:name w:val="Body Text"/>
    <w:basedOn w:val="Normal"/>
    <w:link w:val="TextoindependienteCar"/>
    <w:rsid w:val="003257EE"/>
    <w:pPr>
      <w:spacing w:after="120"/>
    </w:pPr>
  </w:style>
  <w:style w:type="character" w:customStyle="1" w:styleId="TextoindependienteCar">
    <w:name w:val="Texto independiente Car"/>
    <w:basedOn w:val="Fuentedeprrafopredeter"/>
    <w:link w:val="Textoindependiente"/>
    <w:rsid w:val="003257EE"/>
    <w:rPr>
      <w:rFonts w:ascii="Times New Roman" w:eastAsia="Times New Roman" w:hAnsi="Times New Roman" w:cs="Times New Roman"/>
      <w:sz w:val="20"/>
      <w:szCs w:val="20"/>
      <w:lang w:eastAsia="es-ES"/>
    </w:rPr>
  </w:style>
  <w:style w:type="paragraph" w:customStyle="1" w:styleId="Style11">
    <w:name w:val="Style11"/>
    <w:basedOn w:val="Normal"/>
    <w:uiPriority w:val="99"/>
    <w:rsid w:val="003257EE"/>
    <w:pPr>
      <w:widowControl w:val="0"/>
      <w:autoSpaceDE w:val="0"/>
      <w:autoSpaceDN w:val="0"/>
      <w:adjustRightInd w:val="0"/>
      <w:spacing w:line="494" w:lineRule="exact"/>
      <w:ind w:firstLine="874"/>
      <w:jc w:val="both"/>
    </w:pPr>
    <w:rPr>
      <w:rFonts w:ascii="Bookman Old Style" w:hAnsi="Bookman Old Style"/>
      <w:sz w:val="24"/>
      <w:szCs w:val="24"/>
      <w:lang w:eastAsia="es-CO"/>
    </w:rPr>
  </w:style>
  <w:style w:type="character" w:customStyle="1" w:styleId="FontStyle25">
    <w:name w:val="Font Style25"/>
    <w:uiPriority w:val="99"/>
    <w:rsid w:val="003257EE"/>
    <w:rPr>
      <w:rFonts w:ascii="Bookman Old Style" w:hAnsi="Bookman Old Style" w:cs="Bookman Old Style"/>
      <w:sz w:val="28"/>
      <w:szCs w:val="28"/>
    </w:rPr>
  </w:style>
  <w:style w:type="character" w:customStyle="1" w:styleId="FontStyle26">
    <w:name w:val="Font Style26"/>
    <w:uiPriority w:val="99"/>
    <w:rsid w:val="003257EE"/>
    <w:rPr>
      <w:rFonts w:ascii="Bookman Old Style" w:hAnsi="Bookman Old Style" w:cs="Bookman Old Style"/>
      <w:b/>
      <w:bCs/>
      <w:sz w:val="28"/>
      <w:szCs w:val="28"/>
    </w:rPr>
  </w:style>
  <w:style w:type="paragraph" w:styleId="Textoindependienteprimerasangra">
    <w:name w:val="Body Text First Indent"/>
    <w:basedOn w:val="Textoindependiente"/>
    <w:link w:val="TextoindependienteprimerasangraCar"/>
    <w:rsid w:val="003257EE"/>
    <w:pPr>
      <w:ind w:firstLine="210"/>
    </w:pPr>
  </w:style>
  <w:style w:type="character" w:customStyle="1" w:styleId="TextoindependienteprimerasangraCar">
    <w:name w:val="Texto independiente primera sangría Car"/>
    <w:basedOn w:val="TextoindependienteCar"/>
    <w:link w:val="Textoindependienteprimerasangra"/>
    <w:rsid w:val="003257EE"/>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257EE"/>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7EE"/>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5E3C66"/>
    <w:rPr>
      <w:sz w:val="16"/>
      <w:szCs w:val="16"/>
    </w:rPr>
  </w:style>
  <w:style w:type="paragraph" w:styleId="Textocomentario">
    <w:name w:val="annotation text"/>
    <w:basedOn w:val="Normal"/>
    <w:link w:val="TextocomentarioCar"/>
    <w:uiPriority w:val="99"/>
    <w:semiHidden/>
    <w:unhideWhenUsed/>
    <w:rsid w:val="005E3C66"/>
  </w:style>
  <w:style w:type="character" w:customStyle="1" w:styleId="TextocomentarioCar">
    <w:name w:val="Texto comentario Car"/>
    <w:basedOn w:val="Fuentedeprrafopredeter"/>
    <w:link w:val="Textocomentario"/>
    <w:uiPriority w:val="99"/>
    <w:semiHidden/>
    <w:rsid w:val="005E3C6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E3C66"/>
    <w:rPr>
      <w:b/>
      <w:bCs/>
    </w:rPr>
  </w:style>
  <w:style w:type="character" w:customStyle="1" w:styleId="AsuntodelcomentarioCar">
    <w:name w:val="Asunto del comentario Car"/>
    <w:basedOn w:val="TextocomentarioCar"/>
    <w:link w:val="Asuntodelcomentario"/>
    <w:uiPriority w:val="99"/>
    <w:semiHidden/>
    <w:rsid w:val="005E3C66"/>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C02955"/>
  </w:style>
  <w:style w:type="character" w:customStyle="1" w:styleId="TextonotapieCar">
    <w:name w:val="Texto nota pie Car"/>
    <w:basedOn w:val="Fuentedeprrafopredeter"/>
    <w:link w:val="Textonotapie"/>
    <w:uiPriority w:val="99"/>
    <w:semiHidden/>
    <w:rsid w:val="00C02955"/>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C02955"/>
    <w:rPr>
      <w:vertAlign w:val="superscript"/>
    </w:rPr>
  </w:style>
  <w:style w:type="character" w:styleId="Hipervnculo">
    <w:name w:val="Hyperlink"/>
    <w:basedOn w:val="Fuentedeprrafopredeter"/>
    <w:uiPriority w:val="99"/>
    <w:unhideWhenUsed/>
    <w:rsid w:val="00C02955"/>
    <w:rPr>
      <w:color w:val="0000FF" w:themeColor="hyperlink"/>
      <w:u w:val="single"/>
    </w:rPr>
  </w:style>
  <w:style w:type="character" w:customStyle="1" w:styleId="Mencinsinresolver1">
    <w:name w:val="Mención sin resolver1"/>
    <w:basedOn w:val="Fuentedeprrafopredeter"/>
    <w:uiPriority w:val="99"/>
    <w:semiHidden/>
    <w:unhideWhenUsed/>
    <w:rsid w:val="00C02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0447">
      <w:bodyDiv w:val="1"/>
      <w:marLeft w:val="0"/>
      <w:marRight w:val="0"/>
      <w:marTop w:val="0"/>
      <w:marBottom w:val="0"/>
      <w:divBdr>
        <w:top w:val="none" w:sz="0" w:space="0" w:color="auto"/>
        <w:left w:val="none" w:sz="0" w:space="0" w:color="auto"/>
        <w:bottom w:val="none" w:sz="0" w:space="0" w:color="auto"/>
        <w:right w:val="none" w:sz="0" w:space="0" w:color="auto"/>
      </w:divBdr>
    </w:div>
    <w:div w:id="219099305">
      <w:bodyDiv w:val="1"/>
      <w:marLeft w:val="0"/>
      <w:marRight w:val="0"/>
      <w:marTop w:val="0"/>
      <w:marBottom w:val="0"/>
      <w:divBdr>
        <w:top w:val="none" w:sz="0" w:space="0" w:color="auto"/>
        <w:left w:val="none" w:sz="0" w:space="0" w:color="auto"/>
        <w:bottom w:val="none" w:sz="0" w:space="0" w:color="auto"/>
        <w:right w:val="none" w:sz="0" w:space="0" w:color="auto"/>
      </w:divBdr>
    </w:div>
    <w:div w:id="728114678">
      <w:bodyDiv w:val="1"/>
      <w:marLeft w:val="0"/>
      <w:marRight w:val="0"/>
      <w:marTop w:val="0"/>
      <w:marBottom w:val="0"/>
      <w:divBdr>
        <w:top w:val="none" w:sz="0" w:space="0" w:color="auto"/>
        <w:left w:val="none" w:sz="0" w:space="0" w:color="auto"/>
        <w:bottom w:val="none" w:sz="0" w:space="0" w:color="auto"/>
        <w:right w:val="none" w:sz="0" w:space="0" w:color="auto"/>
      </w:divBdr>
    </w:div>
    <w:div w:id="1062169678">
      <w:bodyDiv w:val="1"/>
      <w:marLeft w:val="0"/>
      <w:marRight w:val="0"/>
      <w:marTop w:val="0"/>
      <w:marBottom w:val="0"/>
      <w:divBdr>
        <w:top w:val="none" w:sz="0" w:space="0" w:color="auto"/>
        <w:left w:val="none" w:sz="0" w:space="0" w:color="auto"/>
        <w:bottom w:val="none" w:sz="0" w:space="0" w:color="auto"/>
        <w:right w:val="none" w:sz="0" w:space="0" w:color="auto"/>
      </w:divBdr>
    </w:div>
    <w:div w:id="131480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tcp.gov.co/proyectos/contabilidad-e-informacion-financiera/documentos-organismos-internacionales/propuesta-recomendaciones-al-decreto-2649-de-1993/i-supersocieda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BF2A139FAD99F4FBA070CD7802AAFE6" ma:contentTypeVersion="12" ma:contentTypeDescription="Crear nuevo documento." ma:contentTypeScope="" ma:versionID="f5a30e256c554a853890552878a50331">
  <xsd:schema xmlns:xsd="http://www.w3.org/2001/XMLSchema" xmlns:xs="http://www.w3.org/2001/XMLSchema" xmlns:p="http://schemas.microsoft.com/office/2006/metadata/properties" xmlns:ns3="362f5c0d-345f-46a6-acdc-cc951baa7234" xmlns:ns4="eeb78e61-0bdd-4d16-bc89-28f6efc086da" targetNamespace="http://schemas.microsoft.com/office/2006/metadata/properties" ma:root="true" ma:fieldsID="8c09be43e51d173b023847ff8172fc47" ns3:_="" ns4:_="">
    <xsd:import namespace="362f5c0d-345f-46a6-acdc-cc951baa7234"/>
    <xsd:import namespace="eeb78e61-0bdd-4d16-bc89-28f6efc086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f5c0d-345f-46a6-acdc-cc951baa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78e61-0bdd-4d16-bc89-28f6efc086d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6614-E077-4672-9FCC-993EFE31B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f5c0d-345f-46a6-acdc-cc951baa7234"/>
    <ds:schemaRef ds:uri="eeb78e61-0bdd-4d16-bc89-28f6efc0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CA7F5-4EB6-4952-A5F6-8409BDB9F36E}">
  <ds:schemaRefs>
    <ds:schemaRef ds:uri="http://schemas.microsoft.com/sharepoint/v3/contenttype/forms"/>
  </ds:schemaRefs>
</ds:datastoreItem>
</file>

<file path=customXml/itemProps3.xml><?xml version="1.0" encoding="utf-8"?>
<ds:datastoreItem xmlns:ds="http://schemas.openxmlformats.org/officeDocument/2006/customXml" ds:itemID="{745F1DAB-87F6-4FC9-9130-01CE07BFABE0}">
  <ds:schemaRefs>
    <ds:schemaRef ds:uri="http://schemas.microsoft.com/office/2006/metadata/properties"/>
    <ds:schemaRef ds:uri="http://schemas.microsoft.com/office/2006/documentManagement/types"/>
    <ds:schemaRef ds:uri="http://purl.org/dc/elements/1.1/"/>
    <ds:schemaRef ds:uri="http://purl.org/dc/terms/"/>
    <ds:schemaRef ds:uri="eeb78e61-0bdd-4d16-bc89-28f6efc086da"/>
    <ds:schemaRef ds:uri="http://schemas.microsoft.com/office/infopath/2007/PartnerControls"/>
    <ds:schemaRef ds:uri="http://schemas.openxmlformats.org/package/2006/metadata/core-properties"/>
    <ds:schemaRef ds:uri="362f5c0d-345f-46a6-acdc-cc951baa7234"/>
    <ds:schemaRef ds:uri="http://www.w3.org/XML/1998/namespace"/>
    <ds:schemaRef ds:uri="http://purl.org/dc/dcmitype/"/>
  </ds:schemaRefs>
</ds:datastoreItem>
</file>

<file path=customXml/itemProps4.xml><?xml version="1.0" encoding="utf-8"?>
<ds:datastoreItem xmlns:ds="http://schemas.openxmlformats.org/officeDocument/2006/customXml" ds:itemID="{B9151A4B-A1E6-4077-8D39-74B1C47E2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2586</Words>
  <Characters>14225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Johanna Giraldo Gomez</dc:creator>
  <cp:lastModifiedBy>Laura Liseth Ruiz Gonzalez</cp:lastModifiedBy>
  <cp:revision>2</cp:revision>
  <cp:lastPrinted>2021-05-26T12:31:00Z</cp:lastPrinted>
  <dcterms:created xsi:type="dcterms:W3CDTF">2021-09-23T18:49:00Z</dcterms:created>
  <dcterms:modified xsi:type="dcterms:W3CDTF">2021-09-23T18:49:00Z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0x010100EBF2A139FAD99F4FBA070CD7802AAFE6</vt:lpwstr>
  </property>
</Properties>
</file>