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1DA3" w:rsidR="00A847F5" w:rsidP="64D6D542" w:rsidRDefault="00091DA3" w14:paraId="081322A7" w14:textId="77777777">
      <w:pPr>
        <w:pStyle w:val="Pa8"/>
        <w:ind w:firstLine="28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1D1E"/>
          <w:sz w:val="24"/>
          <w:szCs w:val="24"/>
        </w:rPr>
      </w:pP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1D1E"/>
          <w:sz w:val="24"/>
          <w:szCs w:val="24"/>
        </w:rPr>
        <w:t>INSTRUMENTO DE CARACTERIZACIÓN DE ESTUDIANTES</w:t>
      </w:r>
    </w:p>
    <w:p w:rsidR="00A847F5" w:rsidP="64D6D542" w:rsidRDefault="00A847F5" w14:paraId="61252740" w14:textId="77777777">
      <w:pPr>
        <w:pStyle w:val="Pa8"/>
        <w:ind w:firstLine="280"/>
        <w:jc w:val="both"/>
        <w:rPr>
          <w:rFonts w:ascii="Calibri" w:hAnsi="Calibri" w:eastAsia="Calibri" w:cs="Calibri" w:asciiTheme="minorAscii" w:hAnsiTheme="minorAscii" w:eastAsiaTheme="minorAscii" w:cstheme="minorAscii"/>
          <w:color w:val="211D1E"/>
          <w:sz w:val="24"/>
          <w:szCs w:val="24"/>
        </w:rPr>
      </w:pPr>
    </w:p>
    <w:p w:rsidR="00091DA3" w:rsidP="64D6D542" w:rsidRDefault="00091DA3" w14:paraId="695FA022" w14:textId="7937AACB">
      <w:pPr>
        <w:pStyle w:val="Pa8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la hora de 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planear el desarrollo de asignaturas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es necesario considerar quiénes son nuestros estudiantes y cuáles son sus formas de aprender 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pues estas influyen en la manera en que afron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tan el proceso de enseñanza 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aprendizaje (</w:t>
      </w:r>
      <w:proofErr w:type="spellStart"/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Covarubias</w:t>
      </w:r>
      <w:proofErr w:type="spellEnd"/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y Piña (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2004)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en 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Iglesias, Manrique y Patiño, 2018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y, por supuesto, configuran, en gran medida, las decisiones que se tomen acerca de la enseñanza (por ejemplo, la frecuencia de los trabajos en grupo o individuales, el ritmo de las entregas solicitadas y su formato, entre otras).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En efecto, el diseño de nuestras asignaturas debe “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ofrecer condiciones para que los estudiantes, cada uno de ellos, desarrollen sus talentos. Reconocerlos como individuos y como interlocutores, supone reconocer, también, en cada uno de ellos el deseo que lo impulsa a formarse. Hacer de ese deseo el fundamento de la enseñanza y motor para su aprendizaje será otra lección necesaria para ellos y es, por supues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to, un enorme reto para los profesores</w:t>
      </w:r>
      <w:r w:rsidRPr="64D6D542" w:rsidR="00091D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” (</w:t>
      </w:r>
      <w:r w:rsidRPr="64D6D542" w:rsidR="00085E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Iglesias, Manrique y Patiño, 2018; p. 18).</w:t>
      </w:r>
    </w:p>
    <w:p w:rsidR="00091DA3" w:rsidP="64D6D542" w:rsidRDefault="00091DA3" w14:paraId="148F290C" w14:textId="77777777">
      <w:pPr>
        <w:pStyle w:val="Pa8"/>
        <w:ind w:firstLine="28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847F5" w:rsidP="64D6D542" w:rsidRDefault="00083C67" w14:paraId="53266C07" w14:textId="4F84578D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  <w:r w:rsidRPr="64D6D542" w:rsidR="00083C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>E</w:t>
      </w:r>
      <w:r w:rsidRPr="64D6D542" w:rsidR="00595F2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 xml:space="preserve">ste instrumento plantea, entonces, </w:t>
      </w:r>
      <w:r w:rsidRPr="64D6D542" w:rsidR="00083C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>algunas preguntas para orientar</w:t>
      </w:r>
      <w:r w:rsidRPr="64D6D542" w:rsidR="00595F2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 xml:space="preserve"> y sistematizar</w:t>
      </w:r>
      <w:r w:rsidRPr="64D6D542" w:rsidR="00083C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 xml:space="preserve"> la reflexión acerca de </w:t>
      </w:r>
      <w:r w:rsidRPr="64D6D542" w:rsidR="00595F2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>sus</w:t>
      </w:r>
      <w:r w:rsidRPr="64D6D542" w:rsidR="00083C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  <w:t xml:space="preserve"> estudiantes.</w:t>
      </w:r>
    </w:p>
    <w:p w:rsidR="00083C67" w:rsidP="64D6D542" w:rsidRDefault="00083C67" w14:paraId="71AAF040" w14:textId="7ED91FBD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p w:rsidR="00083C67" w:rsidP="64D6D542" w:rsidRDefault="00083C67" w14:paraId="6AA39496" w14:textId="70893BEE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6622"/>
      </w:tblGrid>
      <w:tr w:rsidR="00825A42" w:rsidTr="64D6D542" w14:paraId="178762BE" w14:textId="4459ED02">
        <w:tc>
          <w:tcPr>
            <w:tcW w:w="6374" w:type="dxa"/>
            <w:tcMar/>
          </w:tcPr>
          <w:p w:rsidRPr="00250151" w:rsidR="00825A42" w:rsidP="64D6D542" w:rsidRDefault="00825A42" w14:paraId="3A9F8FD3" w14:textId="1A5C24B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CO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Nombre de la asignatura</w:t>
            </w:r>
          </w:p>
          <w:p w:rsidR="00825A42" w:rsidP="64D6D542" w:rsidRDefault="00825A42" w14:paraId="165D620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6622" w:type="dxa"/>
            <w:tcMar/>
          </w:tcPr>
          <w:p w:rsidR="00825A42" w:rsidP="64D6D542" w:rsidRDefault="00825A42" w14:paraId="48E63FC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825A42" w:rsidTr="64D6D542" w14:paraId="24F77801" w14:textId="77777777">
        <w:tc>
          <w:tcPr>
            <w:tcW w:w="6374" w:type="dxa"/>
            <w:tcMar/>
          </w:tcPr>
          <w:p w:rsidR="00825A42" w:rsidP="64D6D542" w:rsidRDefault="00825A42" w14:paraId="2556F5B2" w14:textId="5302F76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¿Es una asignatura de pregrado o de posgrado?</w:t>
            </w:r>
          </w:p>
        </w:tc>
        <w:tc>
          <w:tcPr>
            <w:tcW w:w="6622" w:type="dxa"/>
            <w:tcMar/>
          </w:tcPr>
          <w:p w:rsidR="00825A42" w:rsidP="64D6D542" w:rsidRDefault="00825A42" w14:paraId="141C83C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825A42" w:rsidTr="64D6D542" w14:paraId="67FAD85E" w14:textId="442A0EF6">
        <w:tc>
          <w:tcPr>
            <w:tcW w:w="6374" w:type="dxa"/>
            <w:tcMar/>
          </w:tcPr>
          <w:p w:rsidR="00825A42" w:rsidP="64D6D542" w:rsidRDefault="00825A42" w14:paraId="7A13E310" w14:textId="620514E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Prerrequisitos</w:t>
            </w:r>
          </w:p>
        </w:tc>
        <w:tc>
          <w:tcPr>
            <w:tcW w:w="6622" w:type="dxa"/>
            <w:tcMar/>
          </w:tcPr>
          <w:p w:rsidR="00825A42" w:rsidP="64D6D542" w:rsidRDefault="00825A42" w14:paraId="1C8CC06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595F2D" w:rsidTr="64D6D542" w14:paraId="0768324D" w14:textId="77777777">
        <w:tc>
          <w:tcPr>
            <w:tcW w:w="6374" w:type="dxa"/>
            <w:tcMar/>
          </w:tcPr>
          <w:p w:rsidR="00595F2D" w:rsidP="64D6D542" w:rsidRDefault="00595F2D" w14:paraId="10BE3D4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Resultado de Aprendizaje Esperado </w:t>
            </w: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 la asignatura</w:t>
            </w:r>
          </w:p>
          <w:p w:rsidR="00595F2D" w:rsidP="64D6D542" w:rsidRDefault="00595F2D" w14:paraId="04EABD5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622" w:type="dxa"/>
            <w:tcMar/>
          </w:tcPr>
          <w:p w:rsidR="00595F2D" w:rsidP="64D6D542" w:rsidRDefault="00595F2D" w14:paraId="3C6EF2D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7D5311" w:rsidTr="64D6D542" w14:paraId="1CBFD16E" w14:textId="77777777">
        <w:tc>
          <w:tcPr>
            <w:tcW w:w="6374" w:type="dxa"/>
            <w:tcMar/>
          </w:tcPr>
          <w:p w:rsidR="007D5311" w:rsidP="64D6D542" w:rsidRDefault="007D5311" w14:paraId="49572013" w14:textId="6B3CD54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3881A1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¿Qué conocimientos previos deben tener los estudiantes para obtener los resultados de aprendizaje previstos en esta asignatura?</w:t>
            </w:r>
          </w:p>
          <w:p w:rsidR="0026154A" w:rsidP="64D6D542" w:rsidRDefault="0026154A" w14:paraId="17CE46FB" w14:textId="5D98744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26154A" w:rsidP="64D6D542" w:rsidRDefault="0026154A" w14:paraId="3CB0CC50" w14:textId="0BFE3EFF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5FE29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¿Los estudiantes requieren alguna habilidad específica para seguir la asignatura</w:t>
            </w:r>
            <w:r w:rsidRPr="64D6D542" w:rsidR="43AB5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o para usar algún espacio específico</w:t>
            </w:r>
            <w:r w:rsidRPr="64D6D542" w:rsidR="5FE29C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(por ejemplo; saber usar determinado software)?</w:t>
            </w:r>
          </w:p>
          <w:p w:rsidR="007D5311" w:rsidP="64D6D542" w:rsidRDefault="007D5311" w14:paraId="08A821EA" w14:textId="2025130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622" w:type="dxa"/>
            <w:tcMar/>
          </w:tcPr>
          <w:p w:rsidR="007D5311" w:rsidP="64D6D542" w:rsidRDefault="007D5311" w14:paraId="3529B98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B93A91" w:rsidTr="64D6D542" w14:paraId="7EE1D358" w14:textId="77777777">
        <w:trPr>
          <w:trHeight w:val="589"/>
        </w:trPr>
        <w:tc>
          <w:tcPr>
            <w:tcW w:w="6374" w:type="dxa"/>
            <w:tcMar/>
          </w:tcPr>
          <w:p w:rsidR="007E618F" w:rsidP="64D6D542" w:rsidRDefault="00E471B6" w14:paraId="39E93841" w14:textId="57334ED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¿Q</w:t>
            </w:r>
            <w:r w:rsidRPr="64D6D542" w:rsidR="43AB5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ué</w:t>
            </w: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compromisos de tiempo tienen sus estudiantes?</w:t>
            </w:r>
          </w:p>
          <w:p w:rsidR="00E471B6" w:rsidP="64D6D542" w:rsidRDefault="00E471B6" w14:paraId="66654EF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E471B6" w:rsidR="00E471B6" w:rsidP="64D6D542" w:rsidRDefault="00E471B6" w14:paraId="07F88274" w14:textId="54BB48A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Indague con qué tiempo cuentan los estudiantes para el desarrollo de las diferentes actividades que se les propongan.</w:t>
            </w:r>
          </w:p>
          <w:p w:rsidR="00B93A91" w:rsidP="64D6D542" w:rsidRDefault="00B93A91" w14:paraId="2078EC94" w14:textId="085C064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622" w:type="dxa"/>
            <w:tcMar/>
          </w:tcPr>
          <w:p w:rsidRPr="7A91AD5D" w:rsidR="00B93A91" w:rsidP="64D6D542" w:rsidRDefault="00B93A91" w14:paraId="5A18A795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483248" w:rsidTr="64D6D542" w14:paraId="0F3999ED" w14:textId="77777777">
        <w:tc>
          <w:tcPr>
            <w:tcW w:w="6374" w:type="dxa"/>
            <w:tcMar/>
          </w:tcPr>
          <w:p w:rsidR="00483248" w:rsidP="64D6D542" w:rsidRDefault="00483248" w14:paraId="1FF9E821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A6210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¿Cuántos estudiantes tomarán la asignatura?</w:t>
            </w:r>
          </w:p>
          <w:p w:rsidR="00830FD7" w:rsidP="64D6D542" w:rsidRDefault="00830FD7" w14:paraId="4872D7B8" w14:textId="79DF1AA4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5FF521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Esta información orientará sus decisiones acerca de las actividades que les proponga; en particular, aquellas que deberán desarrollar en forma grupal.</w:t>
            </w:r>
          </w:p>
        </w:tc>
        <w:tc>
          <w:tcPr>
            <w:tcW w:w="6622" w:type="dxa"/>
            <w:tcMar/>
          </w:tcPr>
          <w:p w:rsidRPr="7A91AD5D" w:rsidR="00483248" w:rsidP="64D6D542" w:rsidRDefault="00483248" w14:paraId="78CA9817" w14:textId="505DB8B9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825A42" w:rsidTr="64D6D542" w14:paraId="6E2209F5" w14:textId="77777777">
        <w:tc>
          <w:tcPr>
            <w:tcW w:w="6374" w:type="dxa"/>
            <w:tcMar/>
          </w:tcPr>
          <w:p w:rsidR="00825A42" w:rsidP="64D6D542" w:rsidRDefault="00825A42" w14:paraId="54E53202" w14:textId="2C47536C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¿Hay algunos estudiantes que seguirán la asignatura solamente de forma remota? ¿Quiénes?</w:t>
            </w:r>
            <w:r w:rsidRPr="64D6D542" w:rsidR="43AB5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¿En </w:t>
            </w: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qué lugares</w:t>
            </w:r>
            <w:r w:rsidRPr="64D6D542" w:rsidR="43AB5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se encuentran?</w:t>
            </w:r>
          </w:p>
          <w:p w:rsidRPr="00595F2D" w:rsidR="00595F2D" w:rsidP="64D6D542" w:rsidRDefault="00595F2D" w14:paraId="329EBA6B" w14:textId="5B2D7354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 fundamental poder ofrecer a los estudiantes, independientemente de la manera como sigan la asignatura, actividades iguales o equivalentes que les permitan el logro de los aprendizajes previstos.</w:t>
            </w: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Así mismo, conocer su localización geográfica y condiciones de vivienda es necesario para fortalecer las relaciones con sus estudiantes.</w:t>
            </w:r>
          </w:p>
        </w:tc>
        <w:tc>
          <w:tcPr>
            <w:tcW w:w="6622" w:type="dxa"/>
            <w:tcMar/>
          </w:tcPr>
          <w:p w:rsidRPr="7A91AD5D" w:rsidR="00825A42" w:rsidP="64D6D542" w:rsidRDefault="00825A42" w14:paraId="0E6259F7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825A42" w:rsidTr="64D6D542" w14:paraId="1A25F059" w14:textId="77777777">
        <w:tc>
          <w:tcPr>
            <w:tcW w:w="6374" w:type="dxa"/>
            <w:tcMar/>
          </w:tcPr>
          <w:p w:rsidR="00825A42" w:rsidP="64D6D542" w:rsidRDefault="00825A42" w14:paraId="79DFFF3E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¿Cuántos estudiantes podrán estar presentes en el aula durante las clases combinadas?</w:t>
            </w:r>
          </w:p>
          <w:p w:rsidRPr="00595F2D" w:rsidR="00595F2D" w:rsidP="64D6D542" w:rsidRDefault="00595F2D" w14:paraId="183D4F5B" w14:textId="2F61C654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 esta información, será posible tomar decisiones acerca del diseños de las clases que se desarrollarán de forma combinada.</w:t>
            </w:r>
          </w:p>
        </w:tc>
        <w:tc>
          <w:tcPr>
            <w:tcW w:w="6622" w:type="dxa"/>
            <w:tcMar/>
          </w:tcPr>
          <w:p w:rsidRPr="7A91AD5D" w:rsidR="00825A42" w:rsidP="64D6D542" w:rsidRDefault="00825A42" w14:paraId="031A11B5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C00E5E" w:rsidTr="64D6D542" w14:paraId="35F9A40D" w14:textId="77777777">
        <w:tc>
          <w:tcPr>
            <w:tcW w:w="6374" w:type="dxa"/>
            <w:tcMar/>
          </w:tcPr>
          <w:p w:rsidR="00C00E5E" w:rsidP="64D6D542" w:rsidRDefault="00C00E5E" w14:paraId="5CC93720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31D338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¿Qué tanto conocen sus estudiantes acerca de la modalidad combinada?</w:t>
            </w:r>
          </w:p>
          <w:p w:rsidRPr="00595F2D" w:rsidR="00595F2D" w:rsidP="64D6D542" w:rsidRDefault="00595F2D" w14:paraId="21536B0D" w14:textId="04A2636E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Vale la pena identificar qué ideas o conocimientos tienen los estudiantes acerca de la modalidad para aclarar lo necesario</w:t>
            </w: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para el adecuado desarrollo de las clases</w:t>
            </w:r>
            <w:r w:rsidRPr="64D6D542" w:rsidR="00595F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</w:tc>
        <w:tc>
          <w:tcPr>
            <w:tcW w:w="6622" w:type="dxa"/>
            <w:tcMar/>
          </w:tcPr>
          <w:p w:rsidRPr="7A91AD5D" w:rsidR="00C00E5E" w:rsidP="64D6D542" w:rsidRDefault="00C00E5E" w14:paraId="183EA2D6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825A42" w:rsidTr="64D6D542" w14:paraId="469E5479" w14:textId="77777777">
        <w:tc>
          <w:tcPr>
            <w:tcW w:w="6374" w:type="dxa"/>
            <w:tcMar/>
          </w:tcPr>
          <w:p w:rsidR="00825A42" w:rsidP="64D6D542" w:rsidRDefault="00825A42" w14:paraId="3860B035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2B69C46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¿Algunos estudiantes tienen dificultades </w:t>
            </w:r>
            <w:r w:rsidRPr="64D6D542" w:rsidR="3881A1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 conectividad o de disponibilidad de equipos? ¿Quiénes y qué dificultades son estas?</w:t>
            </w:r>
          </w:p>
          <w:p w:rsidRPr="007E618F" w:rsidR="00AB5662" w:rsidP="64D6D542" w:rsidRDefault="00AB5662" w14:paraId="3E3FEAD5" w14:textId="23F4616B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52D0AF0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Reconocer estas posibles dificultades a tiempo facilitará ofrecer soluciones y evitará tropiezos en el desarrollo de las clases</w:t>
            </w:r>
          </w:p>
        </w:tc>
        <w:tc>
          <w:tcPr>
            <w:tcW w:w="6622" w:type="dxa"/>
            <w:tcMar/>
          </w:tcPr>
          <w:p w:rsidRPr="7A91AD5D" w:rsidR="00825A42" w:rsidP="64D6D542" w:rsidRDefault="00825A42" w14:paraId="3520CE7D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683634" w:rsidTr="64D6D542" w14:paraId="65128E1E" w14:textId="77777777">
        <w:tc>
          <w:tcPr>
            <w:tcW w:w="6374" w:type="dxa"/>
            <w:tcMar/>
          </w:tcPr>
          <w:p w:rsidR="00683634" w:rsidP="64D6D542" w:rsidRDefault="00683634" w14:paraId="31FE58E6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6DE5DF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¿Reconoce algunas otras dificultades en sus estudiantes? ¿Cuáles?</w:t>
            </w:r>
          </w:p>
          <w:p w:rsidRPr="00E471B6" w:rsidR="00683634" w:rsidP="64D6D542" w:rsidRDefault="00683634" w14:paraId="3DDB7813" w14:textId="0A869ADF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6DE5DF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Recuerde que es posible incluir en la plataforma que soporta la asignatura, enlaces a la Biblioteca General, al Centro de Escritura o a las Aulas de acompañamiento. Estos pueden facilitarle a sus estudiantes el acceso a estos recursos que ofrece la Universidad.</w:t>
            </w:r>
          </w:p>
        </w:tc>
        <w:tc>
          <w:tcPr>
            <w:tcW w:w="6622" w:type="dxa"/>
            <w:tcMar/>
          </w:tcPr>
          <w:p w:rsidRPr="7A91AD5D" w:rsidR="00683634" w:rsidP="64D6D542" w:rsidRDefault="00683634" w14:paraId="279A49EB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26154A" w:rsidTr="64D6D542" w14:paraId="4F569DBF" w14:textId="77777777">
        <w:tc>
          <w:tcPr>
            <w:tcW w:w="6374" w:type="dxa"/>
            <w:tcMar/>
          </w:tcPr>
          <w:p w:rsidR="00181993" w:rsidP="64D6D542" w:rsidRDefault="00181993" w14:paraId="6229D6E1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57BC9AA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¿Los estudiantes se conocen entre sí con antelación?</w:t>
            </w:r>
          </w:p>
          <w:p w:rsidRPr="007E618F" w:rsidR="0026154A" w:rsidP="64D6D542" w:rsidRDefault="00181993" w14:paraId="6173F666" w14:textId="0DC8C0FA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4D6D542" w:rsidR="57BC9A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Recuerde disponer de ciertos momentos, durante las sesiones sincrónicas, para que los estudiantes se puedan conocer. Incluso, puede prever algunas actividades con este fin.</w:t>
            </w:r>
          </w:p>
        </w:tc>
        <w:tc>
          <w:tcPr>
            <w:tcW w:w="6622" w:type="dxa"/>
            <w:tcMar/>
          </w:tcPr>
          <w:p w:rsidRPr="7A91AD5D" w:rsidR="0026154A" w:rsidP="64D6D542" w:rsidRDefault="0026154A" w14:paraId="38C09666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7E618F" w:rsidTr="64D6D542" w14:paraId="3F5C033F" w14:textId="77777777">
        <w:tc>
          <w:tcPr>
            <w:tcW w:w="6374" w:type="dxa"/>
            <w:tcMar/>
          </w:tcPr>
          <w:p w:rsidR="007E618F" w:rsidP="64D6D542" w:rsidRDefault="007E618F" w14:paraId="51690720" w14:textId="0E11F7EE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43AB58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¿Hay algunos estudiantes que puedan asumir un rol de “padrinos” de sus compañeros?</w:t>
            </w:r>
            <w:r w:rsidRPr="64D6D542" w:rsidR="00E471B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¿Quiénes? ¿De qué manera podrían apoyar a los demás estudiantes?</w:t>
            </w:r>
          </w:p>
        </w:tc>
        <w:tc>
          <w:tcPr>
            <w:tcW w:w="6622" w:type="dxa"/>
            <w:tcMar/>
          </w:tcPr>
          <w:p w:rsidRPr="7A91AD5D" w:rsidR="007E618F" w:rsidP="64D6D542" w:rsidRDefault="007E618F" w14:paraId="45433BDA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50151" w:rsidR="00683634" w:rsidTr="64D6D542" w14:paraId="464C9D5D" w14:textId="77777777">
        <w:tc>
          <w:tcPr>
            <w:tcW w:w="6374" w:type="dxa"/>
            <w:tcMar/>
          </w:tcPr>
          <w:p w:rsidR="00683634" w:rsidP="64D6D542" w:rsidRDefault="00683634" w14:paraId="1FCEC6CC" w14:textId="5530CD6D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4D6D542" w:rsidR="6DE5DF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¿Qué intereses y motivaciones particulares tienen sus estudiantes?</w:t>
            </w:r>
          </w:p>
        </w:tc>
        <w:tc>
          <w:tcPr>
            <w:tcW w:w="6622" w:type="dxa"/>
            <w:tcMar/>
          </w:tcPr>
          <w:p w:rsidRPr="7A91AD5D" w:rsidR="00683634" w:rsidP="64D6D542" w:rsidRDefault="00683634" w14:paraId="5AAD52C1" w14:textId="77777777">
            <w:pPr>
              <w:spacing w:after="2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083C67" w:rsidR="00083C67" w:rsidP="64D6D542" w:rsidRDefault="00083C67" w14:paraId="5BCCFE17" w14:textId="0842393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US"/>
        </w:rPr>
      </w:pPr>
    </w:p>
    <w:p w:rsidR="00083C67" w:rsidP="64D6D542" w:rsidRDefault="00083C67" w14:paraId="6F98B3E9" w14:textId="6B9F4B5F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p w:rsidR="00083C67" w:rsidP="64D6D542" w:rsidRDefault="00083C67" w14:paraId="591B7D10" w14:textId="37B7A91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p w:rsidR="00E471B6" w:rsidP="64D6D542" w:rsidRDefault="00E471B6" w14:paraId="1BDEA8BB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p w:rsidRPr="00220681" w:rsidR="00083C67" w:rsidP="64D6D542" w:rsidRDefault="00220681" w14:paraId="3DF592CE" w14:textId="2F97C2B8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US"/>
        </w:rPr>
      </w:pP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US"/>
        </w:rPr>
        <w:t>Referencias:</w:t>
      </w:r>
    </w:p>
    <w:p w:rsidR="00220681" w:rsidP="64D6D542" w:rsidRDefault="00220681" w14:paraId="6C15D84B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US"/>
        </w:rPr>
      </w:pPr>
    </w:p>
    <w:p w:rsidRPr="00E471B6" w:rsidR="00083C67" w:rsidP="64D6D542" w:rsidRDefault="00083C67" w14:paraId="1E3FD040" w14:textId="3F514BF4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 w:eastAsia="en-US"/>
        </w:rPr>
      </w:pP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Igles</w:t>
      </w:r>
      <w:r w:rsidRPr="64D6D542" w:rsidR="00E05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ias. J.; A. Manrique y M.I Patiño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64D6D542" w:rsidR="00E05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(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2018</w:t>
      </w:r>
      <w:r w:rsidRPr="64D6D542" w:rsidR="00E05D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)</w:t>
      </w:r>
      <w:r w:rsidRPr="64D6D542" w:rsidR="00E47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. </w:t>
      </w:r>
      <w:r w:rsidRPr="64D6D542" w:rsidR="00E47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Estrategias de Enseñanza. </w:t>
      </w:r>
      <w:r w:rsidRPr="64D6D542" w:rsidR="00E47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CAE+E – Pontificia Universidad Javeriana. Bogotá. </w:t>
      </w:r>
      <w:r w:rsidRPr="64D6D542" w:rsidR="00E47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Disponible en: </w:t>
      </w:r>
      <w:hyperlink r:id="Rdd74b1c8042f4ebd">
        <w:r w:rsidRPr="64D6D542" w:rsidR="00E471B6">
          <w:rPr>
            <w:rStyle w:val="Hipervnculo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https://repository.javeriana.edu.co/handle/10554/40881</w:t>
        </w:r>
      </w:hyperlink>
    </w:p>
    <w:p w:rsidR="00220681" w:rsidP="64D6D542" w:rsidRDefault="00220681" w14:paraId="3033B2C4" w14:textId="7EA58D04">
      <w:pPr>
        <w:pStyle w:val="NormalWeb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Thinking About Your Learners</w:t>
      </w:r>
      <w:r w:rsidRPr="64D6D542" w:rsidR="002206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en </w:t>
      </w:r>
      <w:hyperlink r:id="R681942f3034c49c4">
        <w:r w:rsidRPr="64D6D542" w:rsidR="00220681">
          <w:rPr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https://citl.illinois.edu/citl-101/online-strategy-development/develop-or-revise-an-online-course/online-course-in-a-box/designing-your-course/</w:t>
        </w:r>
        <w:r w:rsidRPr="64D6D542" w:rsidR="00220681">
          <w:rPr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lang w:val="en-US"/>
          </w:rPr>
          <w:t>bigpicture/thinking-about-your-learners</w:t>
        </w:r>
      </w:hyperlink>
    </w:p>
    <w:p w:rsidRPr="00E05DAF" w:rsidR="00B321F2" w:rsidP="64D6D542" w:rsidRDefault="00B321F2" w14:paraId="301FDE92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</w:p>
    <w:p w:rsidRPr="00220681" w:rsidR="00083C67" w:rsidP="64D6D542" w:rsidRDefault="00083C67" w14:paraId="7B1D50F4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 w:eastAsia="en-US"/>
        </w:rPr>
      </w:pPr>
    </w:p>
    <w:p w:rsidR="00A847F5" w:rsidP="64D6D542" w:rsidRDefault="00A847F5" w14:paraId="08D994C3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11111"/>
          <w:sz w:val="24"/>
          <w:szCs w:val="24"/>
          <w:bdr w:val="none" w:color="auto" w:sz="0" w:space="0" w:frame="1"/>
        </w:rPr>
      </w:pPr>
    </w:p>
    <w:p w:rsidR="00A847F5" w:rsidP="64D6D542" w:rsidRDefault="00A847F5" w14:paraId="1E2CB590" w14:textId="77777777">
      <w:pPr>
        <w:pStyle w:val="NormalWeb"/>
        <w:spacing w:before="0" w:beforeAutospacing="off" w:after="0" w:afterAutospacing="off"/>
        <w:rPr>
          <w:rStyle w:val="mceitemhidden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bdr w:val="none" w:color="auto" w:sz="0" w:space="0" w:frame="1"/>
        </w:rPr>
      </w:pPr>
    </w:p>
    <w:p w:rsidRPr="00207F4F" w:rsidR="00A847F5" w:rsidP="64D6D542" w:rsidRDefault="00A847F5" w14:paraId="3B339AF8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847F5" w:rsidP="64D6D542" w:rsidRDefault="00A847F5" w14:paraId="0D5E93FC" w14:textId="77777777">
      <w:pPr>
        <w:rPr>
          <w:rFonts w:ascii="Calibri" w:hAnsi="Calibri" w:eastAsia="Calibri" w:cs="Calibri" w:asciiTheme="minorAscii" w:hAnsiTheme="minorAscii" w:eastAsiaTheme="minorAscii" w:cstheme="minorAscii"/>
          <w:color w:val="211D1E"/>
          <w:sz w:val="24"/>
          <w:szCs w:val="24"/>
        </w:rPr>
      </w:pPr>
    </w:p>
    <w:sectPr w:rsidR="00A847F5" w:rsidSect="00091DA3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A3" w:rsidP="00091DA3" w:rsidRDefault="00091DA3" w14:paraId="7B8A71CB" w14:textId="77777777">
      <w:r>
        <w:separator/>
      </w:r>
    </w:p>
  </w:endnote>
  <w:endnote w:type="continuationSeparator" w:id="0">
    <w:p w:rsidR="00091DA3" w:rsidP="00091DA3" w:rsidRDefault="00091DA3" w14:paraId="7165E3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42AEB" w:rsidR="00D42AEB" w:rsidP="00D42AEB" w:rsidRDefault="00D42AEB" w14:paraId="4E6A8ACB" w14:textId="300260BE">
    <w:pPr>
      <w:pStyle w:val="Piedepgina"/>
      <w:jc w:val="right"/>
      <w:rPr>
        <w:sz w:val="16"/>
        <w:szCs w:val="16"/>
      </w:rPr>
    </w:pPr>
    <w:r w:rsidRPr="00D42AEB">
      <w:rPr>
        <w:sz w:val="16"/>
        <w:szCs w:val="16"/>
      </w:rPr>
      <w:t>Versión 19 de agosto de 2020</w:t>
    </w:r>
  </w:p>
  <w:p w:rsidR="00D42AEB" w:rsidRDefault="00D42AEB" w14:paraId="0092B68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A3" w:rsidP="00091DA3" w:rsidRDefault="00091DA3" w14:paraId="57728560" w14:textId="77777777">
      <w:r>
        <w:separator/>
      </w:r>
    </w:p>
  </w:footnote>
  <w:footnote w:type="continuationSeparator" w:id="0">
    <w:p w:rsidR="00091DA3" w:rsidP="00091DA3" w:rsidRDefault="00091DA3" w14:paraId="707AA6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91DA3" w:rsidRDefault="00091DA3" w14:paraId="568B0E07" w14:textId="77777777">
    <w:pPr>
      <w:pStyle w:val="Encabezado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0091DA3" w:rsidTr="64D6D542" w14:paraId="003D949B" w14:textId="77777777">
      <w:tc>
        <w:tcPr>
          <w:tcW w:w="4335" w:type="dxa"/>
          <w:tcMar/>
        </w:tcPr>
        <w:p w:rsidR="00091DA3" w:rsidP="64D6D542" w:rsidRDefault="00091DA3" w14:paraId="2FA60A2C" w14:textId="5EA27B3A">
          <w:pPr>
            <w:pStyle w:val="Normal"/>
          </w:pPr>
          <w:r w:rsidR="64D6D542">
            <w:drawing>
              <wp:inline wp14:editId="7FDB1B4C" wp14:anchorId="5EC9BEA2">
                <wp:extent cx="2400300" cy="790575"/>
                <wp:effectExtent l="0" t="0" r="0" b="0"/>
                <wp:docPr id="16918008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594d4f9c8fa4ce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91DA3" w:rsidP="00091DA3" w:rsidRDefault="00091DA3" w14:paraId="0FE0F57B" w14:textId="77777777">
          <w:pPr>
            <w:pStyle w:val="Encabezado"/>
            <w:ind w:left="-115"/>
          </w:pPr>
        </w:p>
      </w:tc>
      <w:tc>
        <w:tcPr>
          <w:tcW w:w="4335" w:type="dxa"/>
          <w:tcMar/>
        </w:tcPr>
        <w:p w:rsidR="00091DA3" w:rsidP="00091DA3" w:rsidRDefault="00091DA3" w14:paraId="44362BB4" w14:textId="77777777">
          <w:pPr>
            <w:pStyle w:val="Encabezado"/>
            <w:jc w:val="center"/>
          </w:pPr>
        </w:p>
      </w:tc>
      <w:tc>
        <w:tcPr>
          <w:tcW w:w="4335" w:type="dxa"/>
          <w:tcMar/>
        </w:tcPr>
        <w:p w:rsidR="00091DA3" w:rsidP="00091DA3" w:rsidRDefault="00091DA3" w14:paraId="6D375ED2" w14:textId="77777777">
          <w:pPr>
            <w:pStyle w:val="Encabezado"/>
            <w:ind w:right="-115"/>
            <w:jc w:val="right"/>
          </w:pPr>
          <w:r w:rsidR="64D6D542">
            <w:drawing>
              <wp:inline wp14:editId="3F52FB98" wp14:anchorId="5FA5EBCE">
                <wp:extent cx="1636833" cy="749701"/>
                <wp:effectExtent l="0" t="0" r="1905" b="0"/>
                <wp:docPr id="150646715" name="Imagen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2"/>
                        <pic:cNvPicPr/>
                      </pic:nvPicPr>
                      <pic:blipFill>
                        <a:blip r:embed="R5fe6fd9b4b9e4c0a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36833" cy="749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91DA3" w:rsidRDefault="00091DA3" w14:paraId="557AAA97" w14:textId="77777777">
    <w:pPr>
      <w:pStyle w:val="Encabezado"/>
    </w:pPr>
  </w:p>
  <w:p w:rsidR="00091DA3" w:rsidRDefault="00091DA3" w14:paraId="5DEF4A1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21130E"/>
    <w:multiLevelType w:val="multilevel"/>
    <w:tmpl w:val="427E3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05E79"/>
    <w:multiLevelType w:val="multilevel"/>
    <w:tmpl w:val="30CE9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F5"/>
    <w:rsid w:val="00083C67"/>
    <w:rsid w:val="00085E6F"/>
    <w:rsid w:val="00091DA3"/>
    <w:rsid w:val="00181993"/>
    <w:rsid w:val="001F2657"/>
    <w:rsid w:val="00220681"/>
    <w:rsid w:val="0026154A"/>
    <w:rsid w:val="00483248"/>
    <w:rsid w:val="00525479"/>
    <w:rsid w:val="00595F2D"/>
    <w:rsid w:val="00683634"/>
    <w:rsid w:val="007D5311"/>
    <w:rsid w:val="007E618F"/>
    <w:rsid w:val="00825A42"/>
    <w:rsid w:val="00830FD7"/>
    <w:rsid w:val="00A847F5"/>
    <w:rsid w:val="00AB5662"/>
    <w:rsid w:val="00B321F2"/>
    <w:rsid w:val="00B83B25"/>
    <w:rsid w:val="00B93A91"/>
    <w:rsid w:val="00C00E5E"/>
    <w:rsid w:val="00D42AEB"/>
    <w:rsid w:val="00E05DAF"/>
    <w:rsid w:val="00E471B6"/>
    <w:rsid w:val="25FF521D"/>
    <w:rsid w:val="2A62108A"/>
    <w:rsid w:val="2B69C465"/>
    <w:rsid w:val="31D33891"/>
    <w:rsid w:val="3881A1CF"/>
    <w:rsid w:val="3C2B2AF4"/>
    <w:rsid w:val="43AB581D"/>
    <w:rsid w:val="52D0AF01"/>
    <w:rsid w:val="57BC9AAA"/>
    <w:rsid w:val="5FE29C6C"/>
    <w:rsid w:val="64D6D542"/>
    <w:rsid w:val="6DE5DFC4"/>
    <w:rsid w:val="6F8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6BD2"/>
  <w15:chartTrackingRefBased/>
  <w15:docId w15:val="{DA8D8EA4-6A32-4168-8DC1-282C5532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47F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7F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CO" w:eastAsia="es-CO"/>
    </w:rPr>
  </w:style>
  <w:style w:type="character" w:styleId="mceitemhidden" w:customStyle="1">
    <w:name w:val="mceitemhidden"/>
    <w:basedOn w:val="Fuentedeprrafopredeter"/>
    <w:rsid w:val="00A847F5"/>
  </w:style>
  <w:style w:type="paragraph" w:styleId="Pa8" w:customStyle="1">
    <w:name w:val="Pa8"/>
    <w:basedOn w:val="Normal"/>
    <w:next w:val="Normal"/>
    <w:uiPriority w:val="99"/>
    <w:rsid w:val="00A847F5"/>
    <w:pPr>
      <w:autoSpaceDE w:val="0"/>
      <w:autoSpaceDN w:val="0"/>
      <w:adjustRightInd w:val="0"/>
      <w:spacing w:line="221" w:lineRule="atLeast"/>
    </w:pPr>
    <w:rPr>
      <w:rFonts w:ascii="DIN Next LT Pro" w:hAnsi="DIN Next LT Pro" w:eastAsiaTheme="minorHAnsi"/>
      <w:lang w:val="es-CO" w:eastAsia="en-US"/>
    </w:rPr>
  </w:style>
  <w:style w:type="paragraph" w:styleId="Default" w:customStyle="1">
    <w:name w:val="Default"/>
    <w:rsid w:val="00A847F5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91DA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91DA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DA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91DA3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83C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0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repository.javeriana.edu.co/handle/10554/40881" TargetMode="External" Id="Rdd74b1c8042f4ebd" /><Relationship Type="http://schemas.openxmlformats.org/officeDocument/2006/relationships/hyperlink" Target="https://citl.illinois.edu/citl-101/online-strategy-development/develop-or-revise-an-online-course/online-course-in-a-box/designing-your-course/bigpicture/thinking-about-your-learners" TargetMode="External" Id="R681942f3034c49c4" /></Relationships>
</file>

<file path=word/_rels/header1.xml.rels><?xml version="1.0" encoding="utf-8" standalone="no" ?><Relationships xmlns="http://schemas.openxmlformats.org/package/2006/relationships"><Relationship Id="R9594d4f9c8fa4cea" Target="/media/image2.jpeg" Type="http://schemas.openxmlformats.org/officeDocument/2006/relationships/image"/><Relationship Id="R5fe6fd9b4b9e4c0a" Target="/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562564542D564CAC51A0C027C2617C" ma:contentTypeVersion="11" ma:contentTypeDescription="Crear nuevo documento." ma:contentTypeScope="" ma:versionID="32a76ab7c1981da1dd5b5191853bbcdf">
  <xsd:schema xmlns:xsd="http://www.w3.org/2001/XMLSchema" xmlns:xs="http://www.w3.org/2001/XMLSchema" xmlns:p="http://schemas.microsoft.com/office/2006/metadata/properties" xmlns:ns2="bc4018f4-3a11-4cda-bc34-7a077ed6cc13" xmlns:ns3="5e312dd6-0341-486e-8e7f-17e89e58673f" targetNamespace="http://schemas.microsoft.com/office/2006/metadata/properties" ma:root="true" ma:fieldsID="d544cf79a2196bb7fe5ddc59c24ef6a8" ns2:_="" ns3:_="">
    <xsd:import namespace="bc4018f4-3a11-4cda-bc34-7a077ed6cc13"/>
    <xsd:import namespace="5e312dd6-0341-486e-8e7f-17e89e58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018f4-3a11-4cda-bc34-7a077ed6c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2dd6-0341-486e-8e7f-17e89e58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67A3-32BD-4F68-A877-3F755375F1C9}"/>
</file>

<file path=customXml/itemProps2.xml><?xml version="1.0" encoding="utf-8"?>
<ds:datastoreItem xmlns:ds="http://schemas.openxmlformats.org/officeDocument/2006/customXml" ds:itemID="{442736EA-CCAF-426D-A3E4-FF04F9DCF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B327-42A6-4162-9843-C58375E2A67C}">
  <ds:schemaRefs>
    <ds:schemaRef ds:uri="5ac01a04-6243-4485-b73b-bbfccb559f81"/>
    <ds:schemaRef ds:uri="aadfa87b-e5f1-4bc3-84d6-66c40275176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4B2FCB-E31F-4006-A63A-0949B4F63D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Isabel Patino Gomez</dc:creator>
  <keywords/>
  <dc:description/>
  <lastModifiedBy>María Paula Segura Dueñas</lastModifiedBy>
  <revision>15</revision>
  <dcterms:created xsi:type="dcterms:W3CDTF">2020-08-19T13:45:00.0000000Z</dcterms:created>
  <dcterms:modified xsi:type="dcterms:W3CDTF">2020-08-21T20:40:52.9352033Z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0x010100BB562564542D564CAC51A0C027C2617C</vt:lpwstr>
  </property>
  <property fmtid="{D5CDD505-2E9C-101B-9397-08002B2CF9AE}" name="NXPowerLiteLastOptimized" pid="3">
    <vt:lpwstr>84375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S9.0.3</vt:lpwstr>
  </property>
</Properties>
</file>